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1FFEC" w14:textId="04455680"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t>99</w:t>
      </w:r>
      <w:r w:rsidR="0083119B">
        <w:t>bis</w:t>
      </w:r>
      <w:r w:rsidRPr="00CE0424">
        <w:tab/>
      </w:r>
      <w:r w:rsidRPr="00DE64E8">
        <w:rPr>
          <w:szCs w:val="24"/>
        </w:rPr>
        <w:t xml:space="preserve">Tdoc </w:t>
      </w:r>
      <w:r w:rsidR="00DE64E8" w:rsidRPr="00DE64E8">
        <w:rPr>
          <w:rFonts w:cs="Arial"/>
          <w:color w:val="000000"/>
          <w:szCs w:val="24"/>
        </w:rPr>
        <w:t>R2-1710523</w:t>
      </w:r>
    </w:p>
    <w:p w14:paraId="0833D615" w14:textId="77777777" w:rsidR="00700EF5" w:rsidRPr="00CE0424" w:rsidRDefault="00700EF5" w:rsidP="00700EF5">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47A892D5" w14:textId="77777777" w:rsidR="00E90E49" w:rsidRPr="00CE0424" w:rsidRDefault="00E90E49" w:rsidP="00357380">
      <w:pPr>
        <w:pStyle w:val="3GPPHeader"/>
      </w:pPr>
    </w:p>
    <w:p w14:paraId="2915DFDB" w14:textId="13BA5DA0" w:rsidR="00E90E49" w:rsidRPr="00821D9F" w:rsidRDefault="00E90E49" w:rsidP="00311702">
      <w:pPr>
        <w:pStyle w:val="3GPPHeader"/>
        <w:rPr>
          <w:sz w:val="22"/>
          <w:szCs w:val="22"/>
          <w:lang w:val="en-US"/>
        </w:rPr>
      </w:pPr>
      <w:r w:rsidRPr="00821D9F">
        <w:rPr>
          <w:sz w:val="22"/>
          <w:szCs w:val="22"/>
          <w:lang w:val="en-US"/>
        </w:rPr>
        <w:t>Agenda Item:</w:t>
      </w:r>
      <w:r w:rsidRPr="00821D9F">
        <w:rPr>
          <w:sz w:val="22"/>
          <w:szCs w:val="22"/>
          <w:lang w:val="en-US"/>
        </w:rPr>
        <w:tab/>
      </w:r>
      <w:r w:rsidR="000E46C4" w:rsidRPr="00821D9F">
        <w:rPr>
          <w:sz w:val="22"/>
          <w:szCs w:val="22"/>
          <w:lang w:val="en-US"/>
        </w:rPr>
        <w:t>9.14.2</w:t>
      </w:r>
    </w:p>
    <w:p w14:paraId="47398C4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5C86B93" w14:textId="2C32DF3E" w:rsidR="00E90E49" w:rsidRPr="00CE0424" w:rsidRDefault="003D3C45" w:rsidP="00311702">
      <w:pPr>
        <w:pStyle w:val="3GPPHeader"/>
        <w:rPr>
          <w:sz w:val="22"/>
          <w:szCs w:val="22"/>
        </w:rPr>
      </w:pPr>
      <w:r>
        <w:rPr>
          <w:sz w:val="22"/>
          <w:szCs w:val="22"/>
        </w:rPr>
        <w:t>Title:</w:t>
      </w:r>
      <w:r w:rsidR="00E90E49" w:rsidRPr="00CE0424">
        <w:rPr>
          <w:sz w:val="22"/>
          <w:szCs w:val="22"/>
        </w:rPr>
        <w:tab/>
      </w:r>
      <w:r w:rsidR="000E46C4">
        <w:rPr>
          <w:sz w:val="22"/>
          <w:szCs w:val="22"/>
        </w:rPr>
        <w:t>General aspects of early data transmission</w:t>
      </w:r>
    </w:p>
    <w:p w14:paraId="74D394B5" w14:textId="3D9D9839" w:rsidR="00E90E49" w:rsidRDefault="00E90E49" w:rsidP="00D546FF">
      <w:pPr>
        <w:pStyle w:val="3GPPHeader"/>
        <w:rPr>
          <w:sz w:val="22"/>
          <w:szCs w:val="22"/>
        </w:rPr>
      </w:pPr>
      <w:r w:rsidRPr="00CE0424">
        <w:rPr>
          <w:sz w:val="22"/>
          <w:szCs w:val="22"/>
        </w:rPr>
        <w:t>Document for:</w:t>
      </w:r>
      <w:r w:rsidRPr="00CE0424">
        <w:rPr>
          <w:sz w:val="22"/>
          <w:szCs w:val="22"/>
        </w:rPr>
        <w:tab/>
      </w:r>
      <w:r w:rsidRPr="000E46C4">
        <w:rPr>
          <w:sz w:val="22"/>
          <w:szCs w:val="22"/>
        </w:rPr>
        <w:t>Decision</w:t>
      </w:r>
    </w:p>
    <w:p w14:paraId="1CBE3C23" w14:textId="77777777" w:rsidR="00C24345" w:rsidRDefault="00E90E49" w:rsidP="00A2052C">
      <w:pPr>
        <w:pStyle w:val="Heading1"/>
      </w:pPr>
      <w:r w:rsidRPr="00CE0424">
        <w:t>Introduction</w:t>
      </w:r>
    </w:p>
    <w:p w14:paraId="4915BA72" w14:textId="475376C4" w:rsidR="00A2052C" w:rsidRDefault="00A2052C" w:rsidP="00A2052C"/>
    <w:p w14:paraId="088043E2" w14:textId="49FC2A4B" w:rsidR="000E46C4" w:rsidRDefault="000E46C4" w:rsidP="000E46C4">
      <w:bookmarkStart w:id="0" w:name="_Ref178064866"/>
      <w:r>
        <w:t>In this document we examine some aspects of the early data transmission, where we see commonality between both the user plane (UP) and control plane (CP) solutions and between eMTC and NB-IoT. The purpose is to provide further details on top of the answers we provided for the email discuss</w:t>
      </w:r>
      <w:r w:rsidR="00DE64E8">
        <w:t xml:space="preserve">ion on early data transmission </w:t>
      </w:r>
      <w:r w:rsidR="00DE64E8">
        <w:fldChar w:fldCharType="begin"/>
      </w:r>
      <w:r w:rsidR="00DE64E8">
        <w:instrText xml:space="preserve"> REF _Ref494323944 \n \h </w:instrText>
      </w:r>
      <w:r w:rsidR="00DE64E8">
        <w:fldChar w:fldCharType="separate"/>
      </w:r>
      <w:r w:rsidR="00DE64E8">
        <w:t>[1]</w:t>
      </w:r>
      <w:r w:rsidR="00DE64E8">
        <w:fldChar w:fldCharType="end"/>
      </w:r>
      <w:r>
        <w:t xml:space="preserve">. </w:t>
      </w:r>
    </w:p>
    <w:p w14:paraId="3BB8EE46" w14:textId="6E59CF8F" w:rsidR="000E46C4" w:rsidRDefault="000E46C4" w:rsidP="000E46C4">
      <w:r>
        <w:t xml:space="preserve">For the details of the </w:t>
      </w:r>
      <w:r w:rsidR="00DE64E8">
        <w:t>CP</w:t>
      </w:r>
      <w:r>
        <w:t xml:space="preserve"> and </w:t>
      </w:r>
      <w:r w:rsidR="00DE64E8">
        <w:t>U</w:t>
      </w:r>
      <w:r>
        <w:t xml:space="preserve">P solutions, we have further provided accompanying documents </w:t>
      </w:r>
      <w:r w:rsidR="00DE64E8">
        <w:fldChar w:fldCharType="begin"/>
      </w:r>
      <w:r w:rsidR="00DE64E8">
        <w:instrText xml:space="preserve"> REF _Ref494323957 \n \h </w:instrText>
      </w:r>
      <w:r w:rsidR="00DE64E8">
        <w:fldChar w:fldCharType="separate"/>
      </w:r>
      <w:r w:rsidR="00DE64E8">
        <w:t>[2]</w:t>
      </w:r>
      <w:r w:rsidR="00DE64E8">
        <w:fldChar w:fldCharType="end"/>
      </w:r>
      <w:r w:rsidR="00DE64E8">
        <w:t xml:space="preserve"> and </w:t>
      </w:r>
      <w:r w:rsidR="00DE64E8">
        <w:fldChar w:fldCharType="begin"/>
      </w:r>
      <w:r w:rsidR="00DE64E8">
        <w:instrText xml:space="preserve"> REF _Ref494323961 \n \h </w:instrText>
      </w:r>
      <w:r w:rsidR="00DE64E8">
        <w:fldChar w:fldCharType="separate"/>
      </w:r>
      <w:r w:rsidR="00DE64E8">
        <w:t>[3]</w:t>
      </w:r>
      <w:r w:rsidR="00DE64E8">
        <w:fldChar w:fldCharType="end"/>
      </w:r>
      <w:r w:rsidR="00DE64E8">
        <w:t xml:space="preserve">, respectively. </w:t>
      </w:r>
    </w:p>
    <w:p w14:paraId="619E75F0" w14:textId="4099BD9C" w:rsidR="004000E8" w:rsidRDefault="000E46C4" w:rsidP="000E46C4">
      <w:pPr>
        <w:pStyle w:val="Heading1"/>
      </w:pPr>
      <w:r w:rsidRPr="00CE0424">
        <w:t xml:space="preserve"> </w:t>
      </w:r>
      <w:r w:rsidR="004000E8" w:rsidRPr="00CE0424">
        <w:t>Discussion</w:t>
      </w:r>
      <w:bookmarkStart w:id="1" w:name="_GoBack"/>
      <w:bookmarkEnd w:id="0"/>
      <w:bookmarkEnd w:id="1"/>
    </w:p>
    <w:p w14:paraId="3C90906E" w14:textId="782AEFD0" w:rsidR="00EF46B8" w:rsidRDefault="00CA6AD5" w:rsidP="00CA6AD5">
      <w:pPr>
        <w:pStyle w:val="Heading2"/>
      </w:pPr>
      <w:r>
        <w:t xml:space="preserve">Indication of early data </w:t>
      </w:r>
      <w:r w:rsidR="00D5304D">
        <w:t xml:space="preserve">available for </w:t>
      </w:r>
      <w:r>
        <w:t>transmission</w:t>
      </w:r>
    </w:p>
    <w:p w14:paraId="1A0C6ADE" w14:textId="43D8F73B" w:rsidR="00CA6AD5" w:rsidRDefault="00CA6AD5" w:rsidP="00CA6AD5">
      <w:r>
        <w:t xml:space="preserve">In our view, it is not necessary for the UE to indicate </w:t>
      </w:r>
      <w:r w:rsidR="00463C26">
        <w:t xml:space="preserve">data available for </w:t>
      </w:r>
      <w:r>
        <w:t>early data transmission</w:t>
      </w:r>
      <w:r w:rsidR="00F43E99">
        <w:t xml:space="preserve"> (EDT)</w:t>
      </w:r>
      <w:r>
        <w:t xml:space="preserve">, but it could be up to the eNB to provide larger grants when the conditions are such that the UEs could transmit larger Msg3s, possibly including user plane data as well. </w:t>
      </w:r>
    </w:p>
    <w:p w14:paraId="304A4767" w14:textId="35E749AB" w:rsidR="0051638E" w:rsidRDefault="00A22377" w:rsidP="000C1E94">
      <w:r>
        <w:t xml:space="preserve">If such indication is used, it is generally understood </w:t>
      </w:r>
      <w:r w:rsidR="00463C26">
        <w:fldChar w:fldCharType="begin"/>
      </w:r>
      <w:r w:rsidR="00463C26">
        <w:instrText xml:space="preserve"> REF _Ref494323944 \n \h </w:instrText>
      </w:r>
      <w:r w:rsidR="00463C26">
        <w:fldChar w:fldCharType="separate"/>
      </w:r>
      <w:r w:rsidR="00463C26">
        <w:t>[1]</w:t>
      </w:r>
      <w:r w:rsidR="00463C26">
        <w:fldChar w:fldCharType="end"/>
      </w:r>
      <w:r>
        <w:t xml:space="preserve"> that random access preamble would be used by the UE to indicate its wish for early data transmission. There are several aspects RAN2 should discu</w:t>
      </w:r>
      <w:r w:rsidR="000C1E94">
        <w:t xml:space="preserve">ss about such indication, e.g., if </w:t>
      </w:r>
      <w:r>
        <w:t xml:space="preserve">there </w:t>
      </w:r>
      <w:r w:rsidR="000C1E94">
        <w:t xml:space="preserve">is </w:t>
      </w:r>
      <w:r w:rsidR="003C3A05">
        <w:t xml:space="preserve">a </w:t>
      </w:r>
      <w:r>
        <w:t xml:space="preserve">need to indicate different message sizes </w:t>
      </w:r>
      <w:r w:rsidR="000C1E94">
        <w:t xml:space="preserve">or if such indication would be defined per CE level. </w:t>
      </w:r>
    </w:p>
    <w:p w14:paraId="27C88262" w14:textId="77777777" w:rsidR="00ED595D" w:rsidRDefault="000C1E94" w:rsidP="0051638E">
      <w:r>
        <w:t>In any case, for a preamble</w:t>
      </w:r>
      <w:r w:rsidR="00463C26">
        <w:t>-based</w:t>
      </w:r>
      <w:r>
        <w:t xml:space="preserve"> indication, we </w:t>
      </w:r>
      <w:r w:rsidR="0051638E">
        <w:t>need to separate several preambles for early data with multiple preamble groups. S</w:t>
      </w:r>
      <w:r w:rsidR="00A22377">
        <w:t xml:space="preserve">uch indication would result in reduced (N)PRACH performance, </w:t>
      </w:r>
      <w:r w:rsidR="006B0211">
        <w:t>as the number of available preambles will be reduced</w:t>
      </w:r>
      <w:r w:rsidR="00A22377">
        <w:t>. If early data transmission is seen to be scaled to massive number of IoT devices, then there would be need</w:t>
      </w:r>
      <w:r w:rsidR="003C3A05">
        <w:t>ed</w:t>
      </w:r>
      <w:r w:rsidR="00A22377">
        <w:t xml:space="preserve"> to have multiple subcarriers / preambles reserved </w:t>
      </w:r>
      <w:r w:rsidR="00CD2546">
        <w:t>to</w:t>
      </w:r>
      <w:r w:rsidR="00A22377">
        <w:t xml:space="preserve"> have decent random access capacity. If </w:t>
      </w:r>
      <w:r w:rsidR="00CD2546">
        <w:t xml:space="preserve">a hard partitioning is done, </w:t>
      </w:r>
      <w:r w:rsidR="00A22377">
        <w:t xml:space="preserve">(N)PRACH capacity would deteriorate for all UEs, and it would depend on the size of the groups which UEs are hurt the most. </w:t>
      </w:r>
      <w:r w:rsidR="0091573F">
        <w:t>The exact effect is up to further studie</w:t>
      </w:r>
      <w:r w:rsidR="006B0211">
        <w:t>s and not in the scope of RAN2, however RAN2 should specify how the grouping is done.</w:t>
      </w:r>
    </w:p>
    <w:p w14:paraId="24F2C0F8" w14:textId="7C92D37E" w:rsidR="00C562C1" w:rsidRDefault="006B0211" w:rsidP="0051638E">
      <w:r>
        <w:t xml:space="preserve"> </w:t>
      </w:r>
    </w:p>
    <w:p w14:paraId="4E56DE67" w14:textId="4B617B24" w:rsidR="0091573F" w:rsidRDefault="00A22377" w:rsidP="0091573F">
      <w:pPr>
        <w:pStyle w:val="Observation"/>
      </w:pPr>
      <w:bookmarkStart w:id="2" w:name="_Toc494061343"/>
      <w:bookmarkStart w:id="3" w:name="_Toc494187810"/>
      <w:bookmarkStart w:id="4" w:name="_Toc494187856"/>
      <w:bookmarkStart w:id="5" w:name="_Toc494234052"/>
      <w:bookmarkStart w:id="6" w:name="_Toc494235798"/>
      <w:bookmarkStart w:id="7" w:name="_Toc494365814"/>
      <w:bookmarkStart w:id="8" w:name="_Toc494366667"/>
      <w:bookmarkStart w:id="9" w:name="_Toc494367122"/>
      <w:bookmarkStart w:id="10" w:name="_Toc494408620"/>
      <w:bookmarkStart w:id="11" w:name="_Toc494415214"/>
      <w:r>
        <w:t>Further hard partitioning of the (N)PRACH resources for early data transmission w</w:t>
      </w:r>
      <w:r w:rsidR="00C562C1">
        <w:t>ill</w:t>
      </w:r>
      <w:r>
        <w:t xml:space="preserve"> result in random access performance</w:t>
      </w:r>
      <w:r w:rsidR="005765FD">
        <w:t xml:space="preserve"> </w:t>
      </w:r>
      <w:r w:rsidR="003668C0">
        <w:t>degradation</w:t>
      </w:r>
      <w:r w:rsidR="0091573F">
        <w:t>.</w:t>
      </w:r>
      <w:bookmarkEnd w:id="2"/>
      <w:bookmarkEnd w:id="3"/>
      <w:bookmarkEnd w:id="4"/>
      <w:bookmarkEnd w:id="5"/>
      <w:bookmarkEnd w:id="6"/>
      <w:bookmarkEnd w:id="7"/>
      <w:bookmarkEnd w:id="8"/>
      <w:bookmarkEnd w:id="9"/>
      <w:bookmarkEnd w:id="10"/>
      <w:bookmarkEnd w:id="11"/>
    </w:p>
    <w:p w14:paraId="30EC1FBA" w14:textId="4281A0EF" w:rsidR="0091573F" w:rsidRDefault="0091573F" w:rsidP="00DA39D7">
      <w:pPr>
        <w:pStyle w:val="Observation"/>
        <w:numPr>
          <w:ilvl w:val="0"/>
          <w:numId w:val="0"/>
        </w:numPr>
      </w:pPr>
    </w:p>
    <w:p w14:paraId="311D5B72" w14:textId="0B5B3565" w:rsidR="000C1E94" w:rsidRDefault="000C1E94" w:rsidP="000C1E94">
      <w:r>
        <w:t>In order to limit the number of reserved preambles or grouping to be done, we propose that if any indication is used</w:t>
      </w:r>
      <w:r w:rsidR="00D5304D">
        <w:t xml:space="preserve"> to indicate that early data is available for transmission</w:t>
      </w:r>
      <w:r>
        <w:t>, it would not be used to indicate different message sizes. In our view the TBS provided for Msg3 will be decided by eNB, and additional indication by UE is not required.</w:t>
      </w:r>
    </w:p>
    <w:p w14:paraId="51FAC3C5" w14:textId="7F6FD9EC" w:rsidR="000C1E94" w:rsidRDefault="000C1E94" w:rsidP="000C1E94"/>
    <w:p w14:paraId="010840BA" w14:textId="571D39C9" w:rsidR="000C1E94" w:rsidRDefault="000C1E94" w:rsidP="006B0B6F">
      <w:pPr>
        <w:pStyle w:val="Observation"/>
      </w:pPr>
      <w:bookmarkStart w:id="12" w:name="_Toc494234053"/>
      <w:bookmarkStart w:id="13" w:name="_Toc494235799"/>
      <w:bookmarkStart w:id="14" w:name="_Toc494365815"/>
      <w:bookmarkStart w:id="15" w:name="_Toc494366668"/>
      <w:bookmarkStart w:id="16" w:name="_Toc494367123"/>
      <w:bookmarkStart w:id="17" w:name="_Toc494408621"/>
      <w:bookmarkStart w:id="18" w:name="_Toc494415215"/>
      <w:r>
        <w:lastRenderedPageBreak/>
        <w:t>It is up to eNB to provide uplink grant size for early data transmission.</w:t>
      </w:r>
      <w:bookmarkEnd w:id="12"/>
      <w:bookmarkEnd w:id="13"/>
      <w:bookmarkEnd w:id="14"/>
      <w:bookmarkEnd w:id="15"/>
      <w:bookmarkEnd w:id="16"/>
      <w:bookmarkEnd w:id="17"/>
      <w:bookmarkEnd w:id="18"/>
      <w:r>
        <w:t xml:space="preserve"> </w:t>
      </w:r>
    </w:p>
    <w:p w14:paraId="173EC6AA" w14:textId="77777777" w:rsidR="00ED595D" w:rsidRDefault="00ED595D" w:rsidP="00ED595D">
      <w:pPr>
        <w:pStyle w:val="Observation"/>
        <w:numPr>
          <w:ilvl w:val="0"/>
          <w:numId w:val="0"/>
        </w:numPr>
        <w:ind w:left="1701"/>
      </w:pPr>
    </w:p>
    <w:p w14:paraId="73FBE487" w14:textId="60837FF6" w:rsidR="000C1E94" w:rsidRDefault="00463C26" w:rsidP="006B0B6F">
      <w:pPr>
        <w:pStyle w:val="Proposal"/>
      </w:pPr>
      <w:bookmarkStart w:id="19" w:name="_Toc494234047"/>
      <w:bookmarkStart w:id="20" w:name="_Toc494235792"/>
      <w:bookmarkStart w:id="21" w:name="_Toc494415219"/>
      <w:bookmarkStart w:id="22" w:name="_Toc494365807"/>
      <w:bookmarkStart w:id="23" w:name="_Toc494367128"/>
      <w:bookmarkStart w:id="24" w:name="_Toc494408626"/>
      <w:r>
        <w:t>Hard p</w:t>
      </w:r>
      <w:r w:rsidR="000C1E94">
        <w:t xml:space="preserve">reamble </w:t>
      </w:r>
      <w:r w:rsidR="0058195B">
        <w:t xml:space="preserve">partitioning </w:t>
      </w:r>
      <w:r w:rsidR="000C1E94">
        <w:t>is not used to indicate the uplink message size for early data transmission.</w:t>
      </w:r>
      <w:bookmarkEnd w:id="19"/>
      <w:bookmarkEnd w:id="20"/>
      <w:bookmarkEnd w:id="21"/>
      <w:r w:rsidR="000C1E94">
        <w:t xml:space="preserve"> </w:t>
      </w:r>
      <w:bookmarkEnd w:id="22"/>
      <w:bookmarkEnd w:id="23"/>
      <w:bookmarkEnd w:id="24"/>
    </w:p>
    <w:p w14:paraId="4E5ED9E5" w14:textId="77777777" w:rsidR="009D2B96" w:rsidRPr="009D2B96" w:rsidRDefault="009D2B96" w:rsidP="009D2B96">
      <w:pPr>
        <w:pStyle w:val="Observation"/>
        <w:numPr>
          <w:ilvl w:val="0"/>
          <w:numId w:val="0"/>
        </w:numPr>
        <w:ind w:left="1701" w:hanging="1701"/>
      </w:pPr>
    </w:p>
    <w:p w14:paraId="44ED0EC5" w14:textId="46C48A90" w:rsidR="00DA39D7" w:rsidRDefault="000E46C4" w:rsidP="0091573F">
      <w:r>
        <w:t>Because of the (N)PRACH performance degradation with hard partitioning</w:t>
      </w:r>
      <w:r w:rsidR="0091573F">
        <w:t>, we propose to have a sort of “soft partitioning”, where the</w:t>
      </w:r>
      <w:r w:rsidR="00F43E99">
        <w:t xml:space="preserve"> existing preamble space and grouping is used, but where system information provides an overlay grouping for the purpose of early data transmission. Then, UEs using EDT would select a preamble of the specified groups to indicate </w:t>
      </w:r>
      <w:r w:rsidR="00D5304D">
        <w:t xml:space="preserve">its </w:t>
      </w:r>
      <w:r w:rsidR="00F43E99">
        <w:t>wish for optimised early data procedure. However, in this approach also legacy UEs may select such preamble, as they don’t understand the soft partitioning for Rel-15 UEs. Therefore</w:t>
      </w:r>
      <w:r w:rsidR="00DA39D7">
        <w:t>,</w:t>
      </w:r>
      <w:r w:rsidR="00F43E99">
        <w:t xml:space="preserve"> </w:t>
      </w:r>
      <w:r w:rsidR="00463C26">
        <w:t xml:space="preserve">Msg2 </w:t>
      </w:r>
      <w:r w:rsidR="00F43E99">
        <w:t xml:space="preserve">would be used to send two grants, </w:t>
      </w:r>
      <w:r>
        <w:t>where the small (“legacy”) one c</w:t>
      </w:r>
      <w:r w:rsidR="00CD2546">
        <w:t>ould</w:t>
      </w:r>
      <w:r>
        <w:t xml:space="preserve"> be </w:t>
      </w:r>
      <w:r w:rsidR="00CD2546">
        <w:t xml:space="preserve">understood and </w:t>
      </w:r>
      <w:r>
        <w:t>used by all UEs and the larger grant is intended for EDT for Rel-15 UEs supporting the feature</w:t>
      </w:r>
      <w:r w:rsidR="00F43E99">
        <w:t xml:space="preserve">. The RAR format would be such that </w:t>
      </w:r>
      <w:r w:rsidR="00CD2546">
        <w:t>all UEs (including legacy) can</w:t>
      </w:r>
      <w:r w:rsidR="00F43E99">
        <w:t xml:space="preserve"> see </w:t>
      </w:r>
      <w:r w:rsidR="00DA39D7">
        <w:t>“normal RAR” and the Rel-15 UEs can use the additional (larger) grant if require</w:t>
      </w:r>
      <w:r w:rsidR="00DA39D7" w:rsidRPr="00DA39D7">
        <w:t>d.</w:t>
      </w:r>
      <w:r w:rsidR="00463C26">
        <w:t xml:space="preserve"> It would be up to the eNB to allocate the grants, and it could either use same time-frequency resources for both grants, or then, for example, have the second grant pointing to a later resource, which could be re-used in the case the UE would use the first grant. </w:t>
      </w:r>
    </w:p>
    <w:p w14:paraId="0EDB84B9" w14:textId="77777777" w:rsidR="00D861FA" w:rsidRDefault="00D861FA" w:rsidP="0091573F"/>
    <w:p w14:paraId="52A14266" w14:textId="77777777" w:rsidR="00D861FA" w:rsidRDefault="00D861FA" w:rsidP="00D861FA">
      <w:pPr>
        <w:pStyle w:val="Observation"/>
      </w:pPr>
      <w:bookmarkStart w:id="25" w:name="_Toc494365817"/>
      <w:bookmarkStart w:id="26" w:name="_Toc494366670"/>
      <w:bookmarkStart w:id="27" w:name="_Toc494367125"/>
      <w:bookmarkStart w:id="28" w:name="_Toc494408623"/>
      <w:bookmarkStart w:id="29" w:name="_Toc494415216"/>
      <w:r>
        <w:t>Indication of early data transmission in Msg3 can be provided in a backwards-compatible way when using “soft partitioning”.</w:t>
      </w:r>
      <w:bookmarkEnd w:id="25"/>
      <w:bookmarkEnd w:id="26"/>
      <w:bookmarkEnd w:id="27"/>
      <w:bookmarkEnd w:id="28"/>
      <w:bookmarkEnd w:id="29"/>
      <w:r>
        <w:t xml:space="preserve"> </w:t>
      </w:r>
    </w:p>
    <w:p w14:paraId="0F7D1734" w14:textId="77777777" w:rsidR="00D861FA" w:rsidRDefault="00D861FA" w:rsidP="00D861FA">
      <w:pPr>
        <w:pStyle w:val="Observation"/>
      </w:pPr>
      <w:bookmarkStart w:id="30" w:name="_Toc494365818"/>
      <w:bookmarkStart w:id="31" w:name="_Toc494366671"/>
      <w:bookmarkStart w:id="32" w:name="_Toc494367126"/>
      <w:bookmarkStart w:id="33" w:name="_Toc494408624"/>
      <w:bookmarkStart w:id="34" w:name="_Toc494415217"/>
      <w:r w:rsidDel="00BE1A13">
        <w:t xml:space="preserve">Backwards compatibility can be kept by embedding </w:t>
      </w:r>
      <w:r>
        <w:t>additional</w:t>
      </w:r>
      <w:r w:rsidDel="00BE1A13">
        <w:t xml:space="preserve"> grant information in </w:t>
      </w:r>
      <w:r>
        <w:t>RAR.</w:t>
      </w:r>
      <w:bookmarkEnd w:id="30"/>
      <w:bookmarkEnd w:id="31"/>
      <w:bookmarkEnd w:id="32"/>
      <w:bookmarkEnd w:id="33"/>
      <w:bookmarkEnd w:id="34"/>
    </w:p>
    <w:p w14:paraId="39C4F658" w14:textId="61C72EDD" w:rsidR="005168D0" w:rsidRPr="00463C26" w:rsidRDefault="005168D0" w:rsidP="00F04219"/>
    <w:p w14:paraId="542B5706" w14:textId="77777777" w:rsidR="005168D0" w:rsidRDefault="005168D0" w:rsidP="005168D0">
      <w:pPr>
        <w:pStyle w:val="Proposal"/>
      </w:pPr>
      <w:bookmarkStart w:id="35" w:name="_Toc494415220"/>
      <w:bookmarkStart w:id="36" w:name="_Toc494234048"/>
      <w:bookmarkStart w:id="37" w:name="_Toc494235793"/>
      <w:bookmarkStart w:id="38" w:name="_Toc494365808"/>
      <w:bookmarkStart w:id="39" w:name="_Toc494367129"/>
      <w:bookmarkStart w:id="40" w:name="_Toc494408627"/>
      <w:r>
        <w:t>"Soft partitioning" is used to reserve preambles for indication of early data transmission.</w:t>
      </w:r>
      <w:bookmarkEnd w:id="35"/>
      <w:r>
        <w:t xml:space="preserve"> </w:t>
      </w:r>
      <w:bookmarkEnd w:id="36"/>
      <w:bookmarkEnd w:id="37"/>
      <w:bookmarkEnd w:id="38"/>
      <w:bookmarkEnd w:id="39"/>
      <w:bookmarkEnd w:id="40"/>
    </w:p>
    <w:p w14:paraId="418571D9" w14:textId="77777777" w:rsidR="00DE5815" w:rsidRDefault="00DE5815" w:rsidP="0091573F"/>
    <w:p w14:paraId="1DDA51DB" w14:textId="42B8AB03" w:rsidR="009D6F88" w:rsidRDefault="00DA39D7" w:rsidP="0091573F">
      <w:r>
        <w:t xml:space="preserve">In simplest form, </w:t>
      </w:r>
      <w:r w:rsidR="00D861FA">
        <w:t xml:space="preserve">the </w:t>
      </w:r>
      <w:r>
        <w:t xml:space="preserve">‘R’ bit in </w:t>
      </w:r>
      <w:r w:rsidR="00D861FA">
        <w:t xml:space="preserve">each </w:t>
      </w:r>
      <w:r>
        <w:t xml:space="preserve">RAR could be used to indicate presence of a second grant, and the existing RAR could be </w:t>
      </w:r>
      <w:r w:rsidR="007438CC">
        <w:t>used intact</w:t>
      </w:r>
      <w:r>
        <w:t xml:space="preserve"> if the use of ‘R’ bit is directly mapped to some (larger) grant size. Such mapping could be signalled e.g. in system information. </w:t>
      </w:r>
      <w:r w:rsidR="0033417E">
        <w:t>Ano</w:t>
      </w:r>
      <w:r w:rsidR="009D6F88">
        <w:t>ther option is to use the BI-subheader ‘R’-bit to indicate to the UE that additional grants are provided in the MAC PDU, or dynamic</w:t>
      </w:r>
      <w:r w:rsidR="007438CC">
        <w:t>ally</w:t>
      </w:r>
      <w:r w:rsidR="009D6F88">
        <w:t xml:space="preserve"> indicat</w:t>
      </w:r>
      <w:r w:rsidR="007438CC">
        <w:t>e the presence</w:t>
      </w:r>
      <w:r w:rsidR="009D6F88">
        <w:t xml:space="preserve"> of additional grants in (N/M)PDCCH. Any alternative we adopt should be such with retains possibility for future extensions and forward compatibility. </w:t>
      </w:r>
    </w:p>
    <w:p w14:paraId="1087535A" w14:textId="44B5257C" w:rsidR="0091573F" w:rsidRDefault="00DA39D7" w:rsidP="0091573F">
      <w:r>
        <w:t xml:space="preserve">If there is need for more flexibility in the grant, the second grant </w:t>
      </w:r>
      <w:r w:rsidR="00003D9D">
        <w:t xml:space="preserve">per used preamble </w:t>
      </w:r>
      <w:r>
        <w:t xml:space="preserve">could be included in </w:t>
      </w:r>
      <w:r w:rsidR="009D6F88">
        <w:t xml:space="preserve">a new MAC </w:t>
      </w:r>
      <w:r>
        <w:t>RAR, for example in the padding region</w:t>
      </w:r>
      <w:r w:rsidR="007438CC">
        <w:t>. The legacy grant and RAR format could be used, or the RAR size could be optimized to save some overhead (e.g. no need to transmit the same Timing Advance Command two times)</w:t>
      </w:r>
      <w:r w:rsidR="00847411">
        <w:t xml:space="preserve"> </w:t>
      </w:r>
      <w:r w:rsidR="007438CC">
        <w:t xml:space="preserve">See </w:t>
      </w:r>
      <w:r w:rsidR="00847411">
        <w:fldChar w:fldCharType="begin"/>
      </w:r>
      <w:r w:rsidR="00847411">
        <w:instrText xml:space="preserve"> REF _Ref494231311 \h </w:instrText>
      </w:r>
      <w:r w:rsidR="00847411">
        <w:fldChar w:fldCharType="separate"/>
      </w:r>
      <w:r w:rsidR="00847411">
        <w:t xml:space="preserve">Figure </w:t>
      </w:r>
      <w:r w:rsidR="00847411">
        <w:rPr>
          <w:noProof/>
        </w:rPr>
        <w:t>1</w:t>
      </w:r>
      <w:r w:rsidR="00847411">
        <w:fldChar w:fldCharType="end"/>
      </w:r>
      <w:r w:rsidR="00847411">
        <w:t xml:space="preserve"> for an example where R-bits in RAR are used to indicate a second</w:t>
      </w:r>
      <w:r w:rsidR="003668C0">
        <w:t xml:space="preserve"> </w:t>
      </w:r>
      <w:r w:rsidR="00847411">
        <w:t xml:space="preserve">RAR/grant in the padding </w:t>
      </w:r>
      <w:r w:rsidR="009D6F88">
        <w:t xml:space="preserve">region </w:t>
      </w:r>
      <w:r w:rsidR="00847411">
        <w:t>of MAC PDU.</w:t>
      </w:r>
      <w:r w:rsidR="009D6F88">
        <w:t xml:space="preserve"> Similar solution could be used together with different indications.</w:t>
      </w:r>
      <w:r>
        <w:t xml:space="preserve"> </w:t>
      </w:r>
    </w:p>
    <w:p w14:paraId="550DECE8" w14:textId="77777777" w:rsidR="009D6F88" w:rsidRDefault="009D6F88" w:rsidP="009D6F88"/>
    <w:p w14:paraId="124668F6" w14:textId="38258448" w:rsidR="009D6F88" w:rsidRDefault="00F04219" w:rsidP="009D6F88">
      <w:pPr>
        <w:pStyle w:val="Proposal"/>
      </w:pPr>
      <w:bookmarkStart w:id="41" w:name="_Toc494415221"/>
      <w:bookmarkStart w:id="42" w:name="_Toc494365809"/>
      <w:bookmarkStart w:id="43" w:name="_Toc494367130"/>
      <w:bookmarkStart w:id="44" w:name="_Toc494408628"/>
      <w:r>
        <w:t xml:space="preserve">RAN2 should discuss the best way to add </w:t>
      </w:r>
      <w:r w:rsidR="009D6F88">
        <w:t>additional grant</w:t>
      </w:r>
      <w:r>
        <w:t>(s)</w:t>
      </w:r>
      <w:r w:rsidR="009D6F88">
        <w:t xml:space="preserve"> in Msg2 for early transmission in Msg3.</w:t>
      </w:r>
      <w:bookmarkEnd w:id="41"/>
      <w:r w:rsidR="009D6F88">
        <w:t xml:space="preserve"> </w:t>
      </w:r>
      <w:bookmarkEnd w:id="42"/>
      <w:bookmarkEnd w:id="43"/>
      <w:bookmarkEnd w:id="44"/>
    </w:p>
    <w:p w14:paraId="2EF11E67" w14:textId="77777777" w:rsidR="009D6F88" w:rsidRDefault="009D6F88" w:rsidP="0091573F"/>
    <w:p w14:paraId="5EE208F4" w14:textId="77777777" w:rsidR="00FD5626" w:rsidRDefault="00FD5626" w:rsidP="00470352">
      <w:pPr>
        <w:keepNext/>
      </w:pPr>
      <w:r>
        <w:rPr>
          <w:noProof/>
          <w:lang w:val="en-US" w:eastAsia="en-US"/>
        </w:rPr>
        <w:lastRenderedPageBreak/>
        <w:drawing>
          <wp:inline distT="0" distB="0" distL="0" distR="0" wp14:anchorId="4A52BB8C" wp14:editId="3D5C0D07">
            <wp:extent cx="6120765" cy="2141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41855"/>
                    </a:xfrm>
                    <a:prstGeom prst="rect">
                      <a:avLst/>
                    </a:prstGeom>
                  </pic:spPr>
                </pic:pic>
              </a:graphicData>
            </a:graphic>
          </wp:inline>
        </w:drawing>
      </w:r>
    </w:p>
    <w:p w14:paraId="3812741D" w14:textId="0B86C369" w:rsidR="00FD5626" w:rsidRDefault="00FD5626" w:rsidP="00470352">
      <w:pPr>
        <w:pStyle w:val="Caption"/>
        <w:jc w:val="both"/>
      </w:pPr>
      <w:bookmarkStart w:id="45" w:name="_Ref494231311"/>
      <w:r>
        <w:t xml:space="preserve">Figure </w:t>
      </w:r>
      <w:r>
        <w:fldChar w:fldCharType="begin"/>
      </w:r>
      <w:r>
        <w:instrText xml:space="preserve"> SEQ Figure \* ARABIC </w:instrText>
      </w:r>
      <w:r>
        <w:fldChar w:fldCharType="separate"/>
      </w:r>
      <w:r>
        <w:rPr>
          <w:noProof/>
        </w:rPr>
        <w:t>1</w:t>
      </w:r>
      <w:r>
        <w:fldChar w:fldCharType="end"/>
      </w:r>
      <w:bookmarkEnd w:id="45"/>
      <w:r>
        <w:t>. Example of using R-bits to indicate second grant (or RAR)</w:t>
      </w:r>
      <w:r w:rsidR="00847411">
        <w:t xml:space="preserve"> in the padding region. In this example </w:t>
      </w:r>
      <w:r w:rsidR="009D6F88">
        <w:t xml:space="preserve">additional </w:t>
      </w:r>
      <w:r w:rsidR="00847411">
        <w:t xml:space="preserve">RARs are provided in the padding or all (legacy) RARs with R-bit set to 1. </w:t>
      </w:r>
    </w:p>
    <w:p w14:paraId="67D45CEF" w14:textId="6DAC6E1A" w:rsidR="00902B41" w:rsidRDefault="00902B41" w:rsidP="00A65C70"/>
    <w:p w14:paraId="47F4B495" w14:textId="264877BA" w:rsidR="000475AC" w:rsidRDefault="000475AC" w:rsidP="000475AC">
      <w:pPr>
        <w:pStyle w:val="Heading2"/>
      </w:pPr>
      <w:r>
        <w:t>State transitions during early data transmission</w:t>
      </w:r>
    </w:p>
    <w:p w14:paraId="00BB45A9" w14:textId="39B45A88" w:rsidR="00494CB3" w:rsidRDefault="000475AC" w:rsidP="000475AC">
      <w:r>
        <w:t xml:space="preserve">In general, we think that </w:t>
      </w:r>
      <w:r w:rsidR="00131E6C">
        <w:t>by default the early data transmission should</w:t>
      </w:r>
      <w:r w:rsidR="00C43947">
        <w:t xml:space="preserve"> use the legacy RRC messages state transitions (i.e. typically UE would move to RRC_CONNECT</w:t>
      </w:r>
      <w:r w:rsidR="009C2F83">
        <w:t>E</w:t>
      </w:r>
      <w:r w:rsidR="00C43947">
        <w:t>D and EMM_CONNECTED while processing Msg4)</w:t>
      </w:r>
      <w:r w:rsidR="009A4BF2">
        <w:t xml:space="preserve"> for both UP and CP solutions</w:t>
      </w:r>
      <w:r w:rsidR="00C43947">
        <w:t>. Firstly, we think th</w:t>
      </w:r>
      <w:r w:rsidR="001C2256">
        <w:t>at</w:t>
      </w:r>
      <w:r w:rsidR="00C43947">
        <w:t xml:space="preserve"> early data transmission can be specified using the existing RRC messages, where the messages can be extended in case additional information on top of what has </w:t>
      </w:r>
      <w:r w:rsidR="00494CB3">
        <w:t>been specified today is needed.</w:t>
      </w:r>
      <w:r w:rsidR="006A7213">
        <w:t xml:space="preserve"> This would result in minimal specification impact. </w:t>
      </w:r>
    </w:p>
    <w:p w14:paraId="730DF069" w14:textId="18950199" w:rsidR="00494CB3" w:rsidRDefault="00494CB3" w:rsidP="000475AC">
      <w:r>
        <w:t xml:space="preserve">Regarding transition to connected mode, we think it is not viable to </w:t>
      </w:r>
      <w:r w:rsidR="008B3B53">
        <w:t xml:space="preserve">always a priori </w:t>
      </w:r>
      <w:r>
        <w:t xml:space="preserve">assume the transaction triggering EDT will only consist of one uplink and downlink transmission (in case of MO event) or one downlink transmission (in case of MT event). Therefore, the transition to connected mode should be the default. Otherwise any additional UL or DL transmissions would require triggering of a new RRC connection resume or setup procedure, resulting in increased total power consumption. </w:t>
      </w:r>
    </w:p>
    <w:p w14:paraId="2A947410" w14:textId="04E8F04B" w:rsidR="00B65A1D" w:rsidRDefault="00F04219" w:rsidP="000475AC">
      <w:r>
        <w:t>Thus, f</w:t>
      </w:r>
      <w:r w:rsidR="00B65A1D">
        <w:t xml:space="preserve">urther benefit of using the legacy procedure and messages as baseline is the situations where the traffic pattern is something else than just one uplink and downlink packet, which, as discussed, is </w:t>
      </w:r>
      <w:r>
        <w:t>difficult</w:t>
      </w:r>
      <w:r w:rsidR="00B65A1D">
        <w:t xml:space="preserve"> to determine in advance in many cases. For such cases</w:t>
      </w:r>
      <w:r w:rsidR="007438CC">
        <w:t>,</w:t>
      </w:r>
      <w:r w:rsidR="00B65A1D">
        <w:t xml:space="preserve"> there is no need to specify or perform a dedicate</w:t>
      </w:r>
      <w:r w:rsidR="00462979">
        <w:t>d</w:t>
      </w:r>
      <w:r w:rsidR="00B65A1D">
        <w:t xml:space="preserve"> fallback procedure, as the procedures would be continued as specified today. </w:t>
      </w:r>
    </w:p>
    <w:p w14:paraId="05EC41F0" w14:textId="77777777" w:rsidR="00B65A1D" w:rsidRDefault="00B65A1D" w:rsidP="000475AC"/>
    <w:p w14:paraId="061A7463" w14:textId="6726449D" w:rsidR="009A4BF2" w:rsidRDefault="009A4BF2" w:rsidP="009A4BF2">
      <w:pPr>
        <w:pStyle w:val="Proposal"/>
      </w:pPr>
      <w:bookmarkStart w:id="46" w:name="_Toc494235795"/>
      <w:bookmarkStart w:id="47" w:name="_Toc494365810"/>
      <w:bookmarkStart w:id="48" w:name="_Toc494367131"/>
      <w:bookmarkStart w:id="49" w:name="_Toc494408629"/>
      <w:bookmarkStart w:id="50" w:name="_Toc494415222"/>
      <w:r>
        <w:t xml:space="preserve">Existing RRC messages and state transitions are used as </w:t>
      </w:r>
      <w:bookmarkEnd w:id="46"/>
      <w:r w:rsidR="00B65A1D">
        <w:t>baseline for EDT.</w:t>
      </w:r>
      <w:bookmarkEnd w:id="47"/>
      <w:bookmarkEnd w:id="48"/>
      <w:bookmarkEnd w:id="49"/>
      <w:bookmarkEnd w:id="50"/>
    </w:p>
    <w:p w14:paraId="42231D1E" w14:textId="77777777" w:rsidR="007C2D90" w:rsidRDefault="007C2D90" w:rsidP="007C2D90">
      <w:pPr>
        <w:pStyle w:val="Proposal"/>
        <w:numPr>
          <w:ilvl w:val="0"/>
          <w:numId w:val="0"/>
        </w:numPr>
        <w:ind w:left="1701"/>
      </w:pPr>
    </w:p>
    <w:p w14:paraId="3F80F045" w14:textId="30FB22DC" w:rsidR="00C43947" w:rsidRDefault="00C43947" w:rsidP="000475AC">
      <w:r>
        <w:t xml:space="preserve">Optimised message flow for early data transmission would be up to eNB decision after receiving possible EDT indication in Msg1, </w:t>
      </w:r>
      <w:r w:rsidR="008B3B53">
        <w:t xml:space="preserve">possible </w:t>
      </w:r>
      <w:r w:rsidR="009A4BF2">
        <w:t xml:space="preserve">BSR or </w:t>
      </w:r>
      <w:r>
        <w:t>RAI in Msg3 and</w:t>
      </w:r>
      <w:r w:rsidR="009A4BF2">
        <w:t>/or</w:t>
      </w:r>
      <w:r>
        <w:t xml:space="preserve"> any other possible information h</w:t>
      </w:r>
      <w:r w:rsidR="00494CB3">
        <w:t>elping the eNB</w:t>
      </w:r>
      <w:r>
        <w:t xml:space="preserve">. In case the eNB thinks there will </w:t>
      </w:r>
      <w:r w:rsidR="00494CB3">
        <w:t>be no</w:t>
      </w:r>
      <w:r>
        <w:t xml:space="preserve"> more UL transmissions or more than one DL transmission, it could indicate in Msg4 that the UE doesn’t need to make the transition </w:t>
      </w:r>
      <w:r w:rsidR="00494CB3">
        <w:t xml:space="preserve">to connected but </w:t>
      </w:r>
      <w:r w:rsidR="00462979">
        <w:t>move back to</w:t>
      </w:r>
      <w:r w:rsidR="00494CB3">
        <w:t xml:space="preserve"> idle. </w:t>
      </w:r>
      <w:r w:rsidR="009A4BF2">
        <w:t xml:space="preserve">One way of indicating would be to multiplex </w:t>
      </w:r>
      <w:r w:rsidR="009A4BF2">
        <w:rPr>
          <w:i/>
        </w:rPr>
        <w:t xml:space="preserve">RRCConnectionRelease </w:t>
      </w:r>
      <w:r w:rsidR="009A4BF2">
        <w:t>message in Msg4 together with possible downlink data</w:t>
      </w:r>
      <w:r w:rsidR="005473F8">
        <w:t xml:space="preserve"> </w:t>
      </w:r>
      <w:r w:rsidR="005473F8">
        <w:fldChar w:fldCharType="begin"/>
      </w:r>
      <w:r w:rsidR="005473F8">
        <w:instrText xml:space="preserve"> REF _Ref494323961 \n \h </w:instrText>
      </w:r>
      <w:r w:rsidR="005473F8">
        <w:fldChar w:fldCharType="separate"/>
      </w:r>
      <w:r w:rsidR="005473F8">
        <w:t>[3]</w:t>
      </w:r>
      <w:r w:rsidR="005473F8">
        <w:fldChar w:fldCharType="end"/>
      </w:r>
      <w:r w:rsidR="009A4BF2">
        <w:t xml:space="preserve">. </w:t>
      </w:r>
    </w:p>
    <w:p w14:paraId="2D7528FD" w14:textId="77777777" w:rsidR="00CE5C3A" w:rsidRPr="000475AC" w:rsidRDefault="00CE5C3A" w:rsidP="000475AC"/>
    <w:p w14:paraId="2D87756D" w14:textId="7630C81A" w:rsidR="006E0A0D" w:rsidRDefault="006E0A0D" w:rsidP="006E0A0D">
      <w:pPr>
        <w:pStyle w:val="Proposal"/>
      </w:pPr>
      <w:bookmarkStart w:id="51" w:name="_Toc494061349"/>
      <w:bookmarkStart w:id="52" w:name="_Toc494062238"/>
      <w:bookmarkStart w:id="53" w:name="_Toc494058744"/>
      <w:bookmarkStart w:id="54" w:name="_Toc494062644"/>
      <w:bookmarkStart w:id="55" w:name="_Toc494187797"/>
      <w:bookmarkStart w:id="56" w:name="_Toc494187863"/>
      <w:bookmarkStart w:id="57" w:name="_Toc494187876"/>
      <w:bookmarkStart w:id="58" w:name="_Toc494234051"/>
      <w:bookmarkStart w:id="59" w:name="_Toc494235796"/>
      <w:bookmarkStart w:id="60" w:name="_Toc494365811"/>
      <w:bookmarkStart w:id="61" w:name="_Toc494367132"/>
      <w:bookmarkStart w:id="62" w:name="_Toc494408630"/>
      <w:bookmarkStart w:id="63" w:name="_Toc494415223"/>
      <w:r>
        <w:t xml:space="preserve">It is up to eNB to allow UE to </w:t>
      </w:r>
      <w:r w:rsidR="00B42FA4">
        <w:t>go back to</w:t>
      </w:r>
      <w:r>
        <w:t xml:space="preserve"> idle after reception of Msg4.</w:t>
      </w:r>
      <w:bookmarkEnd w:id="51"/>
      <w:bookmarkEnd w:id="52"/>
      <w:bookmarkEnd w:id="53"/>
      <w:bookmarkEnd w:id="54"/>
      <w:bookmarkEnd w:id="55"/>
      <w:bookmarkEnd w:id="56"/>
      <w:bookmarkEnd w:id="57"/>
      <w:bookmarkEnd w:id="58"/>
      <w:bookmarkEnd w:id="59"/>
      <w:bookmarkEnd w:id="60"/>
      <w:bookmarkEnd w:id="61"/>
      <w:bookmarkEnd w:id="62"/>
      <w:bookmarkEnd w:id="63"/>
    </w:p>
    <w:p w14:paraId="739D14E9" w14:textId="58F37688" w:rsidR="00286226" w:rsidRDefault="00286226" w:rsidP="000C1E94">
      <w:pPr>
        <w:keepNext/>
      </w:pPr>
    </w:p>
    <w:p w14:paraId="51FC661B" w14:textId="6F33012A" w:rsidR="009A4BF2" w:rsidRDefault="000C1E94" w:rsidP="009A4BF2">
      <w:pPr>
        <w:pStyle w:val="Heading2"/>
      </w:pPr>
      <w:r>
        <w:t>Transmission of Msg5</w:t>
      </w:r>
    </w:p>
    <w:p w14:paraId="6615EDB6" w14:textId="3E5DD93E" w:rsidR="006A7213" w:rsidRDefault="006A7213" w:rsidP="00EE2915">
      <w:r>
        <w:t xml:space="preserve">In case the UE makes </w:t>
      </w:r>
      <w:r w:rsidR="00DE5815">
        <w:t xml:space="preserve">a </w:t>
      </w:r>
      <w:r>
        <w:t>transition to connected mode, for example if there are multiple downlink transmission</w:t>
      </w:r>
      <w:r w:rsidR="005473F8">
        <w:t>s</w:t>
      </w:r>
      <w:r>
        <w:t xml:space="preserve"> towards the UE, then Msg5 should be used as in legacy</w:t>
      </w:r>
      <w:r w:rsidR="000F68BB">
        <w:t xml:space="preserve"> (skipping any common parameters already included in Msg3, in case such were included for EDT)</w:t>
      </w:r>
      <w:r>
        <w:t xml:space="preserve">. </w:t>
      </w:r>
    </w:p>
    <w:p w14:paraId="12C0AA1D" w14:textId="05728BA2" w:rsidR="009A4BF2" w:rsidRDefault="006A7213" w:rsidP="00EE2915">
      <w:r>
        <w:lastRenderedPageBreak/>
        <w:t>Moreover, w</w:t>
      </w:r>
      <w:r w:rsidR="00A76C80">
        <w:t xml:space="preserve">e don’t think Msg5 should be automatically be left out for EDT, unless the network allows this. Three-way handshake completed by Msg5 </w:t>
      </w:r>
      <w:r w:rsidR="000F68BB">
        <w:t>may be</w:t>
      </w:r>
      <w:r w:rsidR="00A76C80">
        <w:t xml:space="preserve"> useful</w:t>
      </w:r>
      <w:r w:rsidR="008171BD">
        <w:t xml:space="preserve"> or needed for security reasons,</w:t>
      </w:r>
      <w:r w:rsidR="00FF48FB">
        <w:t xml:space="preserve"> </w:t>
      </w:r>
      <w:r w:rsidR="00A76C80">
        <w:t xml:space="preserve">e.g. in </w:t>
      </w:r>
      <w:r w:rsidR="00FF48FB">
        <w:t>preventing</w:t>
      </w:r>
      <w:r w:rsidR="00A76C80">
        <w:t xml:space="preserve"> man-in-the-middle or replay attacks. </w:t>
      </w:r>
      <w:r w:rsidR="00FF48FB">
        <w:t>In addition, we think that Msg5 is need for the network to ensure that the right UE is performing the signa</w:t>
      </w:r>
      <w:r w:rsidR="00DE5815">
        <w:t>l</w:t>
      </w:r>
      <w:r w:rsidR="00FF48FB">
        <w:t xml:space="preserve">ling before it performs further operations. The network should only update its state once it knows that the UE has received Msg5 and sent back the Msg5 to avoid </w:t>
      </w:r>
      <w:r w:rsidR="00DE5815">
        <w:t>state mismatch</w:t>
      </w:r>
      <w:r w:rsidR="00FF48FB">
        <w:t xml:space="preserve">. </w:t>
      </w:r>
      <w:r w:rsidR="00003D9D">
        <w:t>Also</w:t>
      </w:r>
      <w:r w:rsidR="00CE5C3A">
        <w:t>,</w:t>
      </w:r>
      <w:r w:rsidR="00003D9D">
        <w:t xml:space="preserve"> there are NAS procedures which may require further reply from the UE in Msg5. </w:t>
      </w:r>
      <w:r w:rsidR="00A76C80">
        <w:t xml:space="preserve">However, if the EDT procedure is expected to take no more than one uplink and at most one downlink transmission, then eNB could signal in Msg4 if it the UE could skip sending Msg5. This could be done by adding a one-bit field indicating this possibility </w:t>
      </w:r>
      <w:r w:rsidR="00402F9C">
        <w:t>in</w:t>
      </w:r>
      <w:r w:rsidR="00A76C80">
        <w:t xml:space="preserve"> </w:t>
      </w:r>
      <w:r w:rsidR="00A76C80">
        <w:rPr>
          <w:i/>
        </w:rPr>
        <w:t xml:space="preserve">RRCConnectionResume </w:t>
      </w:r>
      <w:r w:rsidR="00A76C80">
        <w:t xml:space="preserve">and </w:t>
      </w:r>
      <w:r w:rsidR="00A76C80">
        <w:rPr>
          <w:i/>
        </w:rPr>
        <w:t xml:space="preserve">RRCConnectionSetup </w:t>
      </w:r>
      <w:r w:rsidR="00A76C80">
        <w:t xml:space="preserve">messages. </w:t>
      </w:r>
    </w:p>
    <w:p w14:paraId="7269B46A" w14:textId="77777777" w:rsidR="00CE5C3A" w:rsidRDefault="00CE5C3A" w:rsidP="00EE2915"/>
    <w:p w14:paraId="01ABFCBE" w14:textId="112CC74B" w:rsidR="006A7213" w:rsidRPr="009A4BF2" w:rsidRDefault="00DA1294" w:rsidP="00EE2915">
      <w:pPr>
        <w:pStyle w:val="Proposal"/>
      </w:pPr>
      <w:bookmarkStart w:id="64" w:name="_Toc494235797"/>
      <w:bookmarkStart w:id="65" w:name="_Toc494365812"/>
      <w:bookmarkStart w:id="66" w:name="_Toc494367133"/>
      <w:bookmarkStart w:id="67" w:name="_Toc494408631"/>
      <w:bookmarkStart w:id="68" w:name="_Toc494415224"/>
      <w:r>
        <w:t>A</w:t>
      </w:r>
      <w:r w:rsidR="00DE5815">
        <w:t xml:space="preserve"> </w:t>
      </w:r>
      <w:r>
        <w:t>o</w:t>
      </w:r>
      <w:r w:rsidR="006A7213">
        <w:t xml:space="preserve">ne-bit field in </w:t>
      </w:r>
      <w:r w:rsidR="006A7213">
        <w:rPr>
          <w:i/>
        </w:rPr>
        <w:t xml:space="preserve">RRCConnectionResume </w:t>
      </w:r>
      <w:r w:rsidR="006A7213">
        <w:t xml:space="preserve">or </w:t>
      </w:r>
      <w:r w:rsidR="006A7213">
        <w:rPr>
          <w:i/>
        </w:rPr>
        <w:t xml:space="preserve">RRCConnectionSetup </w:t>
      </w:r>
      <w:r w:rsidR="006A7213">
        <w:t xml:space="preserve">is used to indicate if </w:t>
      </w:r>
      <w:r w:rsidR="00CD2546">
        <w:t>the UE can skip</w:t>
      </w:r>
      <w:r w:rsidR="006A7213">
        <w:t xml:space="preserve"> transmission </w:t>
      </w:r>
      <w:r w:rsidR="00CD2546">
        <w:t xml:space="preserve">of the corresponding “complete” message </w:t>
      </w:r>
      <w:r w:rsidR="006A7213">
        <w:t>in EDT.</w:t>
      </w:r>
      <w:bookmarkEnd w:id="64"/>
      <w:bookmarkEnd w:id="65"/>
      <w:bookmarkEnd w:id="66"/>
      <w:bookmarkEnd w:id="67"/>
      <w:bookmarkEnd w:id="68"/>
    </w:p>
    <w:p w14:paraId="74EFAEF4" w14:textId="04E5CAC8" w:rsidR="000C1E94" w:rsidRPr="000C1E94" w:rsidRDefault="000C1E94" w:rsidP="000C1E94">
      <w:pPr>
        <w:pStyle w:val="Heading2"/>
      </w:pPr>
      <w:r>
        <w:t>RRC Connection Release</w:t>
      </w:r>
    </w:p>
    <w:p w14:paraId="53FA648E" w14:textId="691CB26F" w:rsidR="00CA347A" w:rsidRDefault="006A7213" w:rsidP="00286226">
      <w:r>
        <w:t xml:space="preserve">As we think the UE should move to connected mode as default, RRC Connection Release procedure should be used to move the UE back to idle. Additional benefit is that for the UP solution, the release </w:t>
      </w:r>
      <w:r w:rsidR="00CD2546">
        <w:t xml:space="preserve">RRC </w:t>
      </w:r>
      <w:r>
        <w:t xml:space="preserve">message can be used to convey NCC for the next resume procedure and the resumeID. These should not be provided any sooner than the </w:t>
      </w:r>
      <w:r w:rsidR="00DA1294">
        <w:t xml:space="preserve">suspension of </w:t>
      </w:r>
      <w:r>
        <w:t xml:space="preserve">UE context to avoid issues e.g. with radio link failures or UE changing the cell before entering the suspended state. </w:t>
      </w:r>
    </w:p>
    <w:p w14:paraId="2015C37B" w14:textId="10F18D78" w:rsidR="006A7213" w:rsidRDefault="006A7213" w:rsidP="00286226">
      <w:r>
        <w:t xml:space="preserve">In the above we propose that the </w:t>
      </w:r>
      <w:r>
        <w:rPr>
          <w:i/>
        </w:rPr>
        <w:t xml:space="preserve">RRCConnectionRelease </w:t>
      </w:r>
      <w:r>
        <w:t xml:space="preserve">message is multiplexed </w:t>
      </w:r>
      <w:r w:rsidR="00CD2546">
        <w:t xml:space="preserve">with other information </w:t>
      </w:r>
      <w:r>
        <w:t xml:space="preserve">in Msg4 when the UE is to move immediately back to idle after the data transaction. The specification impact of this solution should be minimal, as such multiplexing in Msg4 is already possible. </w:t>
      </w:r>
    </w:p>
    <w:p w14:paraId="1DCCDE8E" w14:textId="77777777" w:rsidR="00AC1B9D" w:rsidRDefault="00AC1B9D" w:rsidP="00286226"/>
    <w:p w14:paraId="5EABD25E" w14:textId="0E37307D" w:rsidR="00884C5C" w:rsidRDefault="00884C5C" w:rsidP="007C2D90">
      <w:pPr>
        <w:pStyle w:val="Proposal"/>
      </w:pPr>
      <w:bookmarkStart w:id="69" w:name="_Toc494365813"/>
      <w:bookmarkStart w:id="70" w:name="_Toc494367134"/>
      <w:bookmarkStart w:id="71" w:name="_Toc494408632"/>
      <w:bookmarkStart w:id="72" w:name="_Toc494415225"/>
      <w:r>
        <w:t>RRC Connection Release procedure is used in EDT.</w:t>
      </w:r>
      <w:bookmarkEnd w:id="69"/>
      <w:bookmarkEnd w:id="70"/>
      <w:bookmarkEnd w:id="71"/>
      <w:bookmarkEnd w:id="72"/>
      <w:r>
        <w:t xml:space="preserve"> </w:t>
      </w:r>
    </w:p>
    <w:p w14:paraId="764BD9CA" w14:textId="77777777" w:rsidR="00AC1B9D" w:rsidRDefault="00AC1B9D" w:rsidP="00AC1B9D">
      <w:pPr>
        <w:pStyle w:val="Proposal"/>
        <w:numPr>
          <w:ilvl w:val="0"/>
          <w:numId w:val="0"/>
        </w:numPr>
      </w:pPr>
    </w:p>
    <w:p w14:paraId="5DA92F75" w14:textId="78ED4583" w:rsidR="00CD2546" w:rsidRDefault="00CD2546" w:rsidP="00286226">
      <w:r>
        <w:t>From power consumption point-of-view, the release message is sent in downlink thus it doesn’t significantly affect the UE power consumption if used</w:t>
      </w:r>
      <w:r w:rsidR="00CE5C3A">
        <w:t xml:space="preserve"> (assuming power used for RX is considerably lower compared to that of TX)</w:t>
      </w:r>
      <w:r>
        <w:t xml:space="preserve">. We also have </w:t>
      </w:r>
      <w:r w:rsidR="00F90C6A">
        <w:t xml:space="preserve">an </w:t>
      </w:r>
      <w:r>
        <w:t xml:space="preserve">agenda item for faster RRC release enhancements for Rel-15, </w:t>
      </w:r>
      <w:r w:rsidR="008201D6">
        <w:t>where we expect any specified solutions could be used</w:t>
      </w:r>
      <w:r>
        <w:t xml:space="preserve"> together with EDT. </w:t>
      </w:r>
    </w:p>
    <w:p w14:paraId="4190A2D5" w14:textId="77777777" w:rsidR="00AC1B9D" w:rsidRDefault="00AC1B9D" w:rsidP="00286226"/>
    <w:p w14:paraId="489B372E" w14:textId="770E10DC" w:rsidR="003742AC" w:rsidRPr="00CE0424" w:rsidRDefault="00E736A7" w:rsidP="007C2D90">
      <w:pPr>
        <w:pStyle w:val="Observation"/>
      </w:pPr>
      <w:bookmarkStart w:id="73" w:name="_Toc494365820"/>
      <w:bookmarkStart w:id="74" w:name="_Toc494366673"/>
      <w:bookmarkStart w:id="75" w:name="_Toc494367127"/>
      <w:bookmarkStart w:id="76" w:name="_Toc494408625"/>
      <w:bookmarkStart w:id="77" w:name="_Toc494415218"/>
      <w:r>
        <w:t>Rel-15 enhancements to release could be used in EDT to optimize power consumption.</w:t>
      </w:r>
      <w:bookmarkEnd w:id="73"/>
      <w:bookmarkEnd w:id="74"/>
      <w:bookmarkEnd w:id="75"/>
      <w:bookmarkEnd w:id="76"/>
      <w:bookmarkEnd w:id="77"/>
      <w:r>
        <w:t xml:space="preserve"> </w:t>
      </w:r>
    </w:p>
    <w:p w14:paraId="05A0BE80" w14:textId="77777777" w:rsidR="00C01F33" w:rsidRPr="00CE0424" w:rsidRDefault="00C01F33" w:rsidP="00CE0424">
      <w:pPr>
        <w:pStyle w:val="Heading1"/>
      </w:pPr>
      <w:r w:rsidRPr="00CE0424">
        <w:t>Conclusion</w:t>
      </w:r>
    </w:p>
    <w:p w14:paraId="0263551A" w14:textId="53969584" w:rsidR="00AC1B9D" w:rsidRDefault="008E065E" w:rsidP="00AC1B9D">
      <w:pPr>
        <w:pStyle w:val="BodyText"/>
        <w:rPr>
          <w:noProof/>
        </w:rPr>
      </w:pPr>
      <w:r>
        <w:t xml:space="preserve">In section </w:t>
      </w:r>
      <w:r w:rsidRPr="00CE0424">
        <w:rPr>
          <w:highlight w:val="cyan"/>
        </w:rPr>
        <w:fldChar w:fldCharType="begin"/>
      </w:r>
      <w:r w:rsidRPr="00CE0424">
        <w:instrText xml:space="preserve"> REF _Ref178064866 \r \h </w:instrText>
      </w:r>
      <w:r w:rsidR="00AC1B9D">
        <w:rPr>
          <w:highlight w:val="cyan"/>
        </w:rPr>
        <w:instrText xml:space="preserve"> \* MERGEFORMAT </w:instrText>
      </w:r>
      <w:r w:rsidRPr="00CE0424">
        <w:rPr>
          <w:highlight w:val="cyan"/>
        </w:rPr>
      </w:r>
      <w:r w:rsidRPr="00CE0424">
        <w:rPr>
          <w:highlight w:val="cyan"/>
        </w:rPr>
        <w:fldChar w:fldCharType="separate"/>
      </w:r>
      <w:r w:rsidR="006357E9">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7C4793F" w14:textId="77777777" w:rsidR="00AC1B9D" w:rsidRDefault="00AC1B9D" w:rsidP="00AC1B9D">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Further hard partitioning of the (N)PRACH resources for early data transmission will result in random access performance degradation.</w:t>
      </w:r>
    </w:p>
    <w:p w14:paraId="076C4594" w14:textId="77777777" w:rsidR="00AC1B9D" w:rsidRDefault="00AC1B9D" w:rsidP="00AC1B9D">
      <w:pPr>
        <w:pStyle w:val="TOC1"/>
        <w:jc w:val="both"/>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It is up to eNB to provide uplink grant size for early data transmission.</w:t>
      </w:r>
    </w:p>
    <w:p w14:paraId="5FB5E128" w14:textId="77777777" w:rsidR="00AC1B9D" w:rsidRDefault="00AC1B9D" w:rsidP="00AC1B9D">
      <w:pPr>
        <w:pStyle w:val="TOC1"/>
        <w:jc w:val="both"/>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Indication of early data transmission in Msg3 can be provided in a backwards-compatible way when using “soft partitioning”.</w:t>
      </w:r>
    </w:p>
    <w:p w14:paraId="5F8BA3AE" w14:textId="77777777" w:rsidR="00AC1B9D" w:rsidRDefault="00AC1B9D" w:rsidP="00AC1B9D">
      <w:pPr>
        <w:pStyle w:val="TOC1"/>
        <w:jc w:val="both"/>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Backwards compatibility can be kept by embedding additional grant information in RAR.</w:t>
      </w:r>
    </w:p>
    <w:p w14:paraId="0B13367C" w14:textId="77777777" w:rsidR="00AC1B9D" w:rsidRDefault="00AC1B9D" w:rsidP="00AC1B9D">
      <w:pPr>
        <w:pStyle w:val="TOC1"/>
        <w:jc w:val="both"/>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Rel-15 enhancements to release could be used in EDT to optimize power consumption.</w:t>
      </w:r>
    </w:p>
    <w:p w14:paraId="48CB2329" w14:textId="77777777" w:rsidR="008E065E" w:rsidRDefault="008E065E" w:rsidP="00AC1B9D">
      <w:pPr>
        <w:pStyle w:val="BodyText"/>
        <w:rPr>
          <w:b/>
          <w:bCs/>
        </w:rPr>
      </w:pPr>
      <w:r>
        <w:rPr>
          <w:b/>
          <w:bCs/>
        </w:rPr>
        <w:fldChar w:fldCharType="end"/>
      </w:r>
    </w:p>
    <w:p w14:paraId="0F882BC8" w14:textId="52F2D633" w:rsidR="00AC1B9D" w:rsidRDefault="008E065E" w:rsidP="00AC1B9D">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00AC1B9D">
        <w:rPr>
          <w:highlight w:val="cyan"/>
        </w:rPr>
        <w:instrText xml:space="preserve"> \* MERGEFORMAT </w:instrText>
      </w:r>
      <w:r w:rsidRPr="00CE0424">
        <w:rPr>
          <w:highlight w:val="cyan"/>
        </w:rPr>
      </w:r>
      <w:r w:rsidRPr="00CE0424">
        <w:rPr>
          <w:highlight w:val="cyan"/>
        </w:rPr>
        <w:fldChar w:fldCharType="separate"/>
      </w:r>
      <w:r w:rsidR="006357E9">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604613C" w14:textId="77777777" w:rsidR="00AC1B9D" w:rsidRDefault="00AC1B9D" w:rsidP="00AC1B9D">
      <w:pPr>
        <w:pStyle w:val="TOC1"/>
        <w:jc w:val="both"/>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Hard preamble partitioning is not used to indicate the uplink message size for early data transmission.</w:t>
      </w:r>
    </w:p>
    <w:p w14:paraId="211322E0" w14:textId="77777777" w:rsidR="00AC1B9D" w:rsidRDefault="00AC1B9D" w:rsidP="00AC1B9D">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"Soft partitioning" is used to reserve preambles for indication of early data transmission.</w:t>
      </w:r>
    </w:p>
    <w:p w14:paraId="762DAA63" w14:textId="77777777" w:rsidR="00AC1B9D" w:rsidRDefault="00AC1B9D" w:rsidP="00AC1B9D">
      <w:pPr>
        <w:pStyle w:val="TOC1"/>
        <w:jc w:val="both"/>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should discuss the best way to add additional grant(s) in Msg2 for early transmission in Msg3.</w:t>
      </w:r>
    </w:p>
    <w:p w14:paraId="50EE8EF3" w14:textId="77777777" w:rsidR="00AC1B9D" w:rsidRDefault="00AC1B9D" w:rsidP="00AC1B9D">
      <w:pPr>
        <w:pStyle w:val="TOC1"/>
        <w:jc w:val="both"/>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Existing RRC messages and state transitions are used as baseline for EDT.</w:t>
      </w:r>
    </w:p>
    <w:p w14:paraId="6AEEEB33" w14:textId="77777777" w:rsidR="00AC1B9D" w:rsidRDefault="00AC1B9D" w:rsidP="00AC1B9D">
      <w:pPr>
        <w:pStyle w:val="TOC1"/>
        <w:jc w:val="both"/>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It is up to eNB to allow UE to go back to idle after reception of Msg4.</w:t>
      </w:r>
    </w:p>
    <w:p w14:paraId="6AC1E515" w14:textId="77777777" w:rsidR="00AC1B9D" w:rsidRDefault="00AC1B9D" w:rsidP="00AC1B9D">
      <w:pPr>
        <w:pStyle w:val="TOC1"/>
        <w:jc w:val="both"/>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A one-bit field in </w:t>
      </w:r>
      <w:r w:rsidRPr="00D0584C">
        <w:rPr>
          <w:i/>
        </w:rPr>
        <w:t xml:space="preserve">RRCConnectionResume </w:t>
      </w:r>
      <w:r>
        <w:t xml:space="preserve">or </w:t>
      </w:r>
      <w:r w:rsidRPr="00D0584C">
        <w:rPr>
          <w:i/>
        </w:rPr>
        <w:t xml:space="preserve">RRCConnectionSetup </w:t>
      </w:r>
      <w:r>
        <w:t>is used to indicate if the UE can skip transmission of the corresponding “complete” message in EDT.</w:t>
      </w:r>
    </w:p>
    <w:p w14:paraId="2B7E43A7" w14:textId="77777777" w:rsidR="00AC1B9D" w:rsidRDefault="00AC1B9D" w:rsidP="00AC1B9D">
      <w:pPr>
        <w:pStyle w:val="TOC1"/>
        <w:jc w:val="both"/>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RRC Connection Release procedure is used in EDT.</w:t>
      </w:r>
    </w:p>
    <w:p w14:paraId="19ACBA6A" w14:textId="77777777" w:rsidR="008E065E" w:rsidRPr="00CE0424" w:rsidRDefault="008E065E" w:rsidP="00AC1B9D">
      <w:pPr>
        <w:rPr>
          <w:b/>
          <w:bCs/>
        </w:rPr>
      </w:pPr>
      <w:r>
        <w:rPr>
          <w:b/>
          <w:bCs/>
        </w:rPr>
        <w:fldChar w:fldCharType="end"/>
      </w:r>
    </w:p>
    <w:p w14:paraId="6E0EEEBA" w14:textId="77777777" w:rsidR="00F507D1" w:rsidRPr="00CE0424" w:rsidRDefault="00F507D1" w:rsidP="00CE0424">
      <w:pPr>
        <w:pStyle w:val="Heading1"/>
      </w:pPr>
      <w:bookmarkStart w:id="78" w:name="_In-sequence_SDU_delivery"/>
      <w:bookmarkEnd w:id="78"/>
      <w:r w:rsidRPr="00CE0424">
        <w:t>References</w:t>
      </w:r>
    </w:p>
    <w:p w14:paraId="2A85F44A" w14:textId="37BB86C4" w:rsidR="002A3EB0" w:rsidRDefault="00CB5089" w:rsidP="00DE64E8">
      <w:pPr>
        <w:pStyle w:val="Reference"/>
      </w:pPr>
      <w:bookmarkStart w:id="79" w:name="_Ref494323944"/>
      <w:bookmarkStart w:id="80" w:name="_Ref174151459"/>
      <w:bookmarkStart w:id="81" w:name="_Ref189809556"/>
      <w:r>
        <w:t>R2-1710888, “</w:t>
      </w:r>
      <w:r w:rsidRPr="003577E9">
        <w:t>Email discussion report: [99#45][NB-IoT/MTC] Early data transmission</w:t>
      </w:r>
      <w:r>
        <w:t>”, Qualcomm</w:t>
      </w:r>
      <w:r w:rsidR="00DE64E8">
        <w:t xml:space="preserve">, RAN2#99bis, </w:t>
      </w:r>
      <w:r w:rsidR="00DE64E8" w:rsidRPr="00DE64E8">
        <w:t>Prague, Czech Republic, 9</w:t>
      </w:r>
      <w:r w:rsidR="00DE64E8" w:rsidRPr="00DE64E8">
        <w:rPr>
          <w:vertAlign w:val="superscript"/>
        </w:rPr>
        <w:t>th</w:t>
      </w:r>
      <w:r w:rsidR="00DE64E8" w:rsidRPr="00DE64E8">
        <w:t xml:space="preserve"> – 13</w:t>
      </w:r>
      <w:r w:rsidR="00DE64E8" w:rsidRPr="00DE64E8">
        <w:rPr>
          <w:vertAlign w:val="superscript"/>
        </w:rPr>
        <w:t>th</w:t>
      </w:r>
      <w:r w:rsidR="00DE64E8" w:rsidRPr="00DE64E8">
        <w:t xml:space="preserve"> October 2017</w:t>
      </w:r>
      <w:bookmarkEnd w:id="79"/>
    </w:p>
    <w:p w14:paraId="1135C020" w14:textId="1A59D899" w:rsidR="00DE64E8" w:rsidRPr="00DE64E8" w:rsidRDefault="00DE64E8" w:rsidP="00311702">
      <w:pPr>
        <w:pStyle w:val="Reference"/>
      </w:pPr>
      <w:bookmarkStart w:id="82" w:name="_Ref494323957"/>
      <w:r w:rsidRPr="00DE64E8">
        <w:rPr>
          <w:rFonts w:cs="Arial"/>
          <w:color w:val="000000"/>
        </w:rPr>
        <w:t>R2-1710521, “</w:t>
      </w:r>
      <w:r w:rsidRPr="00DE64E8">
        <w:rPr>
          <w:rFonts w:cs="Arial"/>
        </w:rPr>
        <w:t xml:space="preserve">Early Data Transmission over NAS”, Ericsson, RAN2#99bis, </w:t>
      </w:r>
      <w:r w:rsidRPr="00DE64E8">
        <w:t>Prague, Czech Republic, 9</w:t>
      </w:r>
      <w:r w:rsidRPr="00DE64E8">
        <w:rPr>
          <w:vertAlign w:val="superscript"/>
        </w:rPr>
        <w:t>th</w:t>
      </w:r>
      <w:r w:rsidRPr="00DE64E8">
        <w:t xml:space="preserve"> – 13</w:t>
      </w:r>
      <w:r w:rsidRPr="00DE64E8">
        <w:rPr>
          <w:vertAlign w:val="superscript"/>
        </w:rPr>
        <w:t>th</w:t>
      </w:r>
      <w:r w:rsidRPr="00DE64E8">
        <w:t xml:space="preserve"> October 2017</w:t>
      </w:r>
      <w:bookmarkEnd w:id="82"/>
    </w:p>
    <w:p w14:paraId="671D100F" w14:textId="3F311472" w:rsidR="006A7213" w:rsidRPr="00DE64E8" w:rsidRDefault="00DE64E8" w:rsidP="00311702">
      <w:pPr>
        <w:pStyle w:val="Reference"/>
      </w:pPr>
      <w:bookmarkStart w:id="83" w:name="_Ref494323961"/>
      <w:r w:rsidRPr="00DE64E8">
        <w:rPr>
          <w:rFonts w:cs="Arial"/>
          <w:color w:val="000000"/>
        </w:rPr>
        <w:t>R2-1710522, “</w:t>
      </w:r>
      <w:r w:rsidRPr="00DE64E8">
        <w:rPr>
          <w:rFonts w:cs="Arial"/>
        </w:rPr>
        <w:t xml:space="preserve">UP solution for early data transmission”, Ericsson, RAN2#99bis, </w:t>
      </w:r>
      <w:r w:rsidRPr="00DE64E8">
        <w:t>Prague, Czech Republic, 9</w:t>
      </w:r>
      <w:r w:rsidRPr="00DE64E8">
        <w:rPr>
          <w:vertAlign w:val="superscript"/>
        </w:rPr>
        <w:t>th</w:t>
      </w:r>
      <w:r w:rsidRPr="00DE64E8">
        <w:t xml:space="preserve"> – 13</w:t>
      </w:r>
      <w:r w:rsidRPr="00DE64E8">
        <w:rPr>
          <w:vertAlign w:val="superscript"/>
        </w:rPr>
        <w:t>th</w:t>
      </w:r>
      <w:r w:rsidRPr="00DE64E8">
        <w:t xml:space="preserve"> October 2017</w:t>
      </w:r>
      <w:bookmarkEnd w:id="83"/>
    </w:p>
    <w:bookmarkEnd w:id="80"/>
    <w:bookmarkEnd w:id="81"/>
    <w:p w14:paraId="2F3CFA3B" w14:textId="4EA13DD9" w:rsidR="003A7EF3" w:rsidRDefault="003A7EF3" w:rsidP="00CE0424">
      <w:pPr>
        <w:pStyle w:val="BodyText"/>
      </w:pPr>
    </w:p>
    <w:p w14:paraId="1ACE899F" w14:textId="1B32D7F4" w:rsidR="002D0228" w:rsidRDefault="002D0228" w:rsidP="00CE0424">
      <w:pPr>
        <w:pStyle w:val="BodyText"/>
      </w:pPr>
    </w:p>
    <w:p w14:paraId="3E029973" w14:textId="77777777" w:rsidR="002D0228" w:rsidRPr="00CE0424" w:rsidRDefault="002D0228" w:rsidP="00CE0424">
      <w:pPr>
        <w:pStyle w:val="BodyText"/>
      </w:pPr>
    </w:p>
    <w:sectPr w:rsidR="002D0228" w:rsidRPr="00CE042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B24AA" w14:textId="77777777" w:rsidR="00EB63F5" w:rsidRDefault="00EB63F5">
      <w:r>
        <w:separator/>
      </w:r>
    </w:p>
  </w:endnote>
  <w:endnote w:type="continuationSeparator" w:id="0">
    <w:p w14:paraId="49226116" w14:textId="77777777" w:rsidR="00EB63F5" w:rsidRDefault="00EB63F5">
      <w:r>
        <w:continuationSeparator/>
      </w:r>
    </w:p>
  </w:endnote>
  <w:endnote w:type="continuationNotice" w:id="1">
    <w:p w14:paraId="0536F39F" w14:textId="77777777" w:rsidR="00EB63F5" w:rsidRDefault="00EB63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68DAC" w14:textId="77777777" w:rsidR="00F969EB" w:rsidRDefault="00F96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00201" w14:textId="2FFF7EA0" w:rsidR="009D6F88" w:rsidRDefault="009D6F8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6D9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6D9F">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03DED" w14:textId="77777777" w:rsidR="00F969EB" w:rsidRDefault="00F96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AB10A" w14:textId="77777777" w:rsidR="00EB63F5" w:rsidRDefault="00EB63F5">
      <w:r>
        <w:separator/>
      </w:r>
    </w:p>
  </w:footnote>
  <w:footnote w:type="continuationSeparator" w:id="0">
    <w:p w14:paraId="3F4E0EE1" w14:textId="77777777" w:rsidR="00EB63F5" w:rsidRDefault="00EB63F5">
      <w:r>
        <w:continuationSeparator/>
      </w:r>
    </w:p>
  </w:footnote>
  <w:footnote w:type="continuationNotice" w:id="1">
    <w:p w14:paraId="27D4513D" w14:textId="77777777" w:rsidR="00EB63F5" w:rsidRDefault="00EB63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3C0C1" w14:textId="77777777" w:rsidR="009D6F88" w:rsidRDefault="009D6F8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73C67" w14:textId="77777777" w:rsidR="00F969EB" w:rsidRDefault="00F969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C8DFA" w14:textId="77777777" w:rsidR="00F969EB" w:rsidRDefault="00F96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90E714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7929CD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6468DE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A74F7"/>
    <w:multiLevelType w:val="hybridMultilevel"/>
    <w:tmpl w:val="795EAF2A"/>
    <w:lvl w:ilvl="0" w:tplc="EE3AC5F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C53C6"/>
    <w:multiLevelType w:val="hybridMultilevel"/>
    <w:tmpl w:val="A9AE2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AE79F7"/>
    <w:multiLevelType w:val="hybridMultilevel"/>
    <w:tmpl w:val="CE8A0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390036"/>
    <w:multiLevelType w:val="hybridMultilevel"/>
    <w:tmpl w:val="49E0A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DD3192B"/>
    <w:multiLevelType w:val="hybridMultilevel"/>
    <w:tmpl w:val="39B2B70C"/>
    <w:lvl w:ilvl="0" w:tplc="84BA38F4">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6"/>
  </w:num>
  <w:num w:numId="3">
    <w:abstractNumId w:val="12"/>
  </w:num>
  <w:num w:numId="4">
    <w:abstractNumId w:val="13"/>
  </w:num>
  <w:num w:numId="5">
    <w:abstractNumId w:val="10"/>
  </w:num>
  <w:num w:numId="6">
    <w:abstractNumId w:val="15"/>
  </w:num>
  <w:num w:numId="7">
    <w:abstractNumId w:val="18"/>
  </w:num>
  <w:num w:numId="8">
    <w:abstractNumId w:val="11"/>
  </w:num>
  <w:num w:numId="9">
    <w:abstractNumId w:val="9"/>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6"/>
  </w:num>
  <w:num w:numId="17">
    <w:abstractNumId w:val="14"/>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7"/>
  </w:num>
  <w:num w:numId="20">
    <w:abstractNumId w:val="8"/>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7E9"/>
    <w:rsid w:val="000006E1"/>
    <w:rsid w:val="00002A37"/>
    <w:rsid w:val="000039F4"/>
    <w:rsid w:val="00003D9D"/>
    <w:rsid w:val="00006446"/>
    <w:rsid w:val="00006896"/>
    <w:rsid w:val="00007CDC"/>
    <w:rsid w:val="00011B28"/>
    <w:rsid w:val="00015D15"/>
    <w:rsid w:val="0002564D"/>
    <w:rsid w:val="00025ECA"/>
    <w:rsid w:val="000325B8"/>
    <w:rsid w:val="00034C15"/>
    <w:rsid w:val="00036BA1"/>
    <w:rsid w:val="000422E2"/>
    <w:rsid w:val="00042F22"/>
    <w:rsid w:val="000444EF"/>
    <w:rsid w:val="000475AC"/>
    <w:rsid w:val="00047771"/>
    <w:rsid w:val="00051C76"/>
    <w:rsid w:val="00052A07"/>
    <w:rsid w:val="000534E3"/>
    <w:rsid w:val="0005606A"/>
    <w:rsid w:val="00057117"/>
    <w:rsid w:val="000616E7"/>
    <w:rsid w:val="000640C9"/>
    <w:rsid w:val="0006487E"/>
    <w:rsid w:val="00065E1A"/>
    <w:rsid w:val="00067C11"/>
    <w:rsid w:val="00077E5F"/>
    <w:rsid w:val="0008036A"/>
    <w:rsid w:val="00081AE6"/>
    <w:rsid w:val="000855EB"/>
    <w:rsid w:val="00085B52"/>
    <w:rsid w:val="000866F2"/>
    <w:rsid w:val="0009009F"/>
    <w:rsid w:val="00091557"/>
    <w:rsid w:val="000924C1"/>
    <w:rsid w:val="000924F0"/>
    <w:rsid w:val="00093474"/>
    <w:rsid w:val="0009510F"/>
    <w:rsid w:val="00095CAB"/>
    <w:rsid w:val="00095F9A"/>
    <w:rsid w:val="000A1B7B"/>
    <w:rsid w:val="000A56F2"/>
    <w:rsid w:val="000B2719"/>
    <w:rsid w:val="000B3A8F"/>
    <w:rsid w:val="000B4AB9"/>
    <w:rsid w:val="000B58C3"/>
    <w:rsid w:val="000B61E9"/>
    <w:rsid w:val="000C165A"/>
    <w:rsid w:val="000C1E94"/>
    <w:rsid w:val="000C2E19"/>
    <w:rsid w:val="000D0D07"/>
    <w:rsid w:val="000D4797"/>
    <w:rsid w:val="000E0527"/>
    <w:rsid w:val="000E1E92"/>
    <w:rsid w:val="000E46C4"/>
    <w:rsid w:val="000F06D6"/>
    <w:rsid w:val="000F0EB1"/>
    <w:rsid w:val="000F1106"/>
    <w:rsid w:val="000F3BE9"/>
    <w:rsid w:val="000F3F6C"/>
    <w:rsid w:val="000F68BB"/>
    <w:rsid w:val="000F6DF3"/>
    <w:rsid w:val="001005FF"/>
    <w:rsid w:val="001006FA"/>
    <w:rsid w:val="001062FB"/>
    <w:rsid w:val="001063E6"/>
    <w:rsid w:val="00113CF4"/>
    <w:rsid w:val="001153EA"/>
    <w:rsid w:val="00115643"/>
    <w:rsid w:val="00116765"/>
    <w:rsid w:val="001219F5"/>
    <w:rsid w:val="00121A20"/>
    <w:rsid w:val="0012377F"/>
    <w:rsid w:val="00124314"/>
    <w:rsid w:val="00126B4A"/>
    <w:rsid w:val="00131E6C"/>
    <w:rsid w:val="00132FD0"/>
    <w:rsid w:val="001344C0"/>
    <w:rsid w:val="001346FA"/>
    <w:rsid w:val="00135252"/>
    <w:rsid w:val="00137AB5"/>
    <w:rsid w:val="00137F0B"/>
    <w:rsid w:val="00143CDB"/>
    <w:rsid w:val="00151E23"/>
    <w:rsid w:val="001526E0"/>
    <w:rsid w:val="001551B5"/>
    <w:rsid w:val="00157BB4"/>
    <w:rsid w:val="001615AA"/>
    <w:rsid w:val="001659C1"/>
    <w:rsid w:val="00173A8E"/>
    <w:rsid w:val="00177795"/>
    <w:rsid w:val="00177BDA"/>
    <w:rsid w:val="0018143F"/>
    <w:rsid w:val="0019043A"/>
    <w:rsid w:val="00190AC1"/>
    <w:rsid w:val="0019341A"/>
    <w:rsid w:val="00197684"/>
    <w:rsid w:val="00197DF9"/>
    <w:rsid w:val="001A1987"/>
    <w:rsid w:val="001A2564"/>
    <w:rsid w:val="001A6173"/>
    <w:rsid w:val="001A6CBA"/>
    <w:rsid w:val="001B0D97"/>
    <w:rsid w:val="001B5A5D"/>
    <w:rsid w:val="001C1CE5"/>
    <w:rsid w:val="001C2256"/>
    <w:rsid w:val="001C2EF6"/>
    <w:rsid w:val="001C3D2A"/>
    <w:rsid w:val="001D51BA"/>
    <w:rsid w:val="001D6342"/>
    <w:rsid w:val="001D6D53"/>
    <w:rsid w:val="001E58E2"/>
    <w:rsid w:val="001E7AED"/>
    <w:rsid w:val="001F3916"/>
    <w:rsid w:val="001F54C5"/>
    <w:rsid w:val="001F662C"/>
    <w:rsid w:val="001F7074"/>
    <w:rsid w:val="00200490"/>
    <w:rsid w:val="002011E7"/>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018"/>
    <w:rsid w:val="00241559"/>
    <w:rsid w:val="00241FD2"/>
    <w:rsid w:val="002435B3"/>
    <w:rsid w:val="002458EB"/>
    <w:rsid w:val="002500C8"/>
    <w:rsid w:val="00256492"/>
    <w:rsid w:val="00257543"/>
    <w:rsid w:val="002617E7"/>
    <w:rsid w:val="0026270C"/>
    <w:rsid w:val="00264228"/>
    <w:rsid w:val="00264334"/>
    <w:rsid w:val="0026473E"/>
    <w:rsid w:val="00266214"/>
    <w:rsid w:val="00267C83"/>
    <w:rsid w:val="0027144F"/>
    <w:rsid w:val="00271F3A"/>
    <w:rsid w:val="00273278"/>
    <w:rsid w:val="002737F4"/>
    <w:rsid w:val="002805F5"/>
    <w:rsid w:val="00280751"/>
    <w:rsid w:val="0028280A"/>
    <w:rsid w:val="00286226"/>
    <w:rsid w:val="00286ACD"/>
    <w:rsid w:val="00287838"/>
    <w:rsid w:val="002907B5"/>
    <w:rsid w:val="00292EB7"/>
    <w:rsid w:val="00296227"/>
    <w:rsid w:val="00296F44"/>
    <w:rsid w:val="0029777D"/>
    <w:rsid w:val="002A055E"/>
    <w:rsid w:val="002A1D4E"/>
    <w:rsid w:val="002A1E80"/>
    <w:rsid w:val="002A2869"/>
    <w:rsid w:val="002A3EB0"/>
    <w:rsid w:val="002B24D6"/>
    <w:rsid w:val="002C41E6"/>
    <w:rsid w:val="002D0228"/>
    <w:rsid w:val="002D071A"/>
    <w:rsid w:val="002D34B2"/>
    <w:rsid w:val="002D7637"/>
    <w:rsid w:val="002E17F2"/>
    <w:rsid w:val="002E2038"/>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17E"/>
    <w:rsid w:val="00334579"/>
    <w:rsid w:val="00335858"/>
    <w:rsid w:val="00336BDA"/>
    <w:rsid w:val="00342BD7"/>
    <w:rsid w:val="00343A07"/>
    <w:rsid w:val="00346DB5"/>
    <w:rsid w:val="003477B1"/>
    <w:rsid w:val="0035491B"/>
    <w:rsid w:val="00355EED"/>
    <w:rsid w:val="00356FBC"/>
    <w:rsid w:val="00357380"/>
    <w:rsid w:val="003602D9"/>
    <w:rsid w:val="003604CE"/>
    <w:rsid w:val="00365185"/>
    <w:rsid w:val="003668C0"/>
    <w:rsid w:val="00370E47"/>
    <w:rsid w:val="003742AC"/>
    <w:rsid w:val="00377CE1"/>
    <w:rsid w:val="00385BF0"/>
    <w:rsid w:val="003866A9"/>
    <w:rsid w:val="003868C8"/>
    <w:rsid w:val="003939FF"/>
    <w:rsid w:val="003A2223"/>
    <w:rsid w:val="003A2A0F"/>
    <w:rsid w:val="003A45A1"/>
    <w:rsid w:val="003A5B0A"/>
    <w:rsid w:val="003A6BAC"/>
    <w:rsid w:val="003A7EF3"/>
    <w:rsid w:val="003B159C"/>
    <w:rsid w:val="003B18A8"/>
    <w:rsid w:val="003B369F"/>
    <w:rsid w:val="003B36A3"/>
    <w:rsid w:val="003B460B"/>
    <w:rsid w:val="003B7FE5"/>
    <w:rsid w:val="003C11C8"/>
    <w:rsid w:val="003C2702"/>
    <w:rsid w:val="003C3A05"/>
    <w:rsid w:val="003C7806"/>
    <w:rsid w:val="003D109F"/>
    <w:rsid w:val="003D2478"/>
    <w:rsid w:val="003D3ACF"/>
    <w:rsid w:val="003D3C45"/>
    <w:rsid w:val="003D5B1F"/>
    <w:rsid w:val="003E15FA"/>
    <w:rsid w:val="003E55E4"/>
    <w:rsid w:val="003E74E3"/>
    <w:rsid w:val="003F05C7"/>
    <w:rsid w:val="003F2CD4"/>
    <w:rsid w:val="003F6BBE"/>
    <w:rsid w:val="004000E8"/>
    <w:rsid w:val="00402E2B"/>
    <w:rsid w:val="00402F9C"/>
    <w:rsid w:val="0040512B"/>
    <w:rsid w:val="00405CA5"/>
    <w:rsid w:val="00407CD3"/>
    <w:rsid w:val="00410134"/>
    <w:rsid w:val="00410B72"/>
    <w:rsid w:val="00410F18"/>
    <w:rsid w:val="004116DA"/>
    <w:rsid w:val="0041263E"/>
    <w:rsid w:val="00413AAC"/>
    <w:rsid w:val="00421105"/>
    <w:rsid w:val="004242F4"/>
    <w:rsid w:val="00427248"/>
    <w:rsid w:val="00437447"/>
    <w:rsid w:val="00441A92"/>
    <w:rsid w:val="00444F56"/>
    <w:rsid w:val="00446488"/>
    <w:rsid w:val="004517AA"/>
    <w:rsid w:val="00452CAC"/>
    <w:rsid w:val="00457565"/>
    <w:rsid w:val="00457B71"/>
    <w:rsid w:val="00462979"/>
    <w:rsid w:val="00463C26"/>
    <w:rsid w:val="004669E2"/>
    <w:rsid w:val="00470352"/>
    <w:rsid w:val="00470C31"/>
    <w:rsid w:val="004734D0"/>
    <w:rsid w:val="0047556B"/>
    <w:rsid w:val="00477768"/>
    <w:rsid w:val="00492BC5"/>
    <w:rsid w:val="00494CB3"/>
    <w:rsid w:val="004964F1"/>
    <w:rsid w:val="004A16BC"/>
    <w:rsid w:val="004A2B94"/>
    <w:rsid w:val="004B151E"/>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1622"/>
    <w:rsid w:val="00506557"/>
    <w:rsid w:val="0050677A"/>
    <w:rsid w:val="005108D8"/>
    <w:rsid w:val="005116F9"/>
    <w:rsid w:val="005153A7"/>
    <w:rsid w:val="0051638E"/>
    <w:rsid w:val="005168D0"/>
    <w:rsid w:val="005219CF"/>
    <w:rsid w:val="00534B59"/>
    <w:rsid w:val="00536759"/>
    <w:rsid w:val="00536EB1"/>
    <w:rsid w:val="00537C62"/>
    <w:rsid w:val="00546970"/>
    <w:rsid w:val="005473F8"/>
    <w:rsid w:val="005547CB"/>
    <w:rsid w:val="00554E19"/>
    <w:rsid w:val="0056121F"/>
    <w:rsid w:val="00563DC9"/>
    <w:rsid w:val="00571897"/>
    <w:rsid w:val="00572505"/>
    <w:rsid w:val="005765FD"/>
    <w:rsid w:val="0058195B"/>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8F5"/>
    <w:rsid w:val="005C5CC2"/>
    <w:rsid w:val="005C74FB"/>
    <w:rsid w:val="005C7946"/>
    <w:rsid w:val="005D1602"/>
    <w:rsid w:val="005E385F"/>
    <w:rsid w:val="005E3A3E"/>
    <w:rsid w:val="005E5B81"/>
    <w:rsid w:val="005F2CB1"/>
    <w:rsid w:val="005F3025"/>
    <w:rsid w:val="005F618C"/>
    <w:rsid w:val="005F70BD"/>
    <w:rsid w:val="0060283C"/>
    <w:rsid w:val="00603A84"/>
    <w:rsid w:val="00604F14"/>
    <w:rsid w:val="00611B83"/>
    <w:rsid w:val="00613257"/>
    <w:rsid w:val="00620A71"/>
    <w:rsid w:val="00620D80"/>
    <w:rsid w:val="006234A6"/>
    <w:rsid w:val="00630001"/>
    <w:rsid w:val="006311B3"/>
    <w:rsid w:val="00631CA0"/>
    <w:rsid w:val="0063284C"/>
    <w:rsid w:val="006357E9"/>
    <w:rsid w:val="00636398"/>
    <w:rsid w:val="006368D3"/>
    <w:rsid w:val="00637151"/>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719"/>
    <w:rsid w:val="00695FC2"/>
    <w:rsid w:val="00696949"/>
    <w:rsid w:val="00697052"/>
    <w:rsid w:val="006A46FB"/>
    <w:rsid w:val="006A5E28"/>
    <w:rsid w:val="006A697B"/>
    <w:rsid w:val="006A7213"/>
    <w:rsid w:val="006A7AFF"/>
    <w:rsid w:val="006B0211"/>
    <w:rsid w:val="006B0B6F"/>
    <w:rsid w:val="006B1816"/>
    <w:rsid w:val="006B2099"/>
    <w:rsid w:val="006B50CF"/>
    <w:rsid w:val="006C03B8"/>
    <w:rsid w:val="006C5EC9"/>
    <w:rsid w:val="006C6059"/>
    <w:rsid w:val="006C7522"/>
    <w:rsid w:val="006D6BAC"/>
    <w:rsid w:val="006D6F08"/>
    <w:rsid w:val="006E062C"/>
    <w:rsid w:val="006E0A0D"/>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CBE"/>
    <w:rsid w:val="00737CCF"/>
    <w:rsid w:val="00740E58"/>
    <w:rsid w:val="007438CC"/>
    <w:rsid w:val="007445A0"/>
    <w:rsid w:val="0074524B"/>
    <w:rsid w:val="007467F0"/>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3B4"/>
    <w:rsid w:val="007A306F"/>
    <w:rsid w:val="007A43A6"/>
    <w:rsid w:val="007A58A6"/>
    <w:rsid w:val="007B3D2D"/>
    <w:rsid w:val="007B50AE"/>
    <w:rsid w:val="007B51DF"/>
    <w:rsid w:val="007C05DD"/>
    <w:rsid w:val="007C2D90"/>
    <w:rsid w:val="007C3D18"/>
    <w:rsid w:val="007C60BF"/>
    <w:rsid w:val="007C6A07"/>
    <w:rsid w:val="007C75A1"/>
    <w:rsid w:val="007C77A5"/>
    <w:rsid w:val="007D04E5"/>
    <w:rsid w:val="007D5901"/>
    <w:rsid w:val="007D6D9F"/>
    <w:rsid w:val="007D7526"/>
    <w:rsid w:val="007E2D34"/>
    <w:rsid w:val="007E4610"/>
    <w:rsid w:val="007E4715"/>
    <w:rsid w:val="007E505B"/>
    <w:rsid w:val="007E55C1"/>
    <w:rsid w:val="007E6DD4"/>
    <w:rsid w:val="007E7091"/>
    <w:rsid w:val="007F3D53"/>
    <w:rsid w:val="00803FAE"/>
    <w:rsid w:val="0080605F"/>
    <w:rsid w:val="00807786"/>
    <w:rsid w:val="00811FCB"/>
    <w:rsid w:val="008158D6"/>
    <w:rsid w:val="00817196"/>
    <w:rsid w:val="008171BD"/>
    <w:rsid w:val="008201D6"/>
    <w:rsid w:val="00821D9F"/>
    <w:rsid w:val="008235DB"/>
    <w:rsid w:val="00824AB4"/>
    <w:rsid w:val="00825C42"/>
    <w:rsid w:val="00825D25"/>
    <w:rsid w:val="00827D6F"/>
    <w:rsid w:val="0083119B"/>
    <w:rsid w:val="008376AC"/>
    <w:rsid w:val="008444E8"/>
    <w:rsid w:val="00844E80"/>
    <w:rsid w:val="00846FE7"/>
    <w:rsid w:val="00847411"/>
    <w:rsid w:val="00854F97"/>
    <w:rsid w:val="00856911"/>
    <w:rsid w:val="00863678"/>
    <w:rsid w:val="008677FD"/>
    <w:rsid w:val="008706D4"/>
    <w:rsid w:val="00870F8A"/>
    <w:rsid w:val="008719A4"/>
    <w:rsid w:val="00871D23"/>
    <w:rsid w:val="00874312"/>
    <w:rsid w:val="0087437C"/>
    <w:rsid w:val="00875CD7"/>
    <w:rsid w:val="00876B4D"/>
    <w:rsid w:val="00877F18"/>
    <w:rsid w:val="00884C5C"/>
    <w:rsid w:val="00894A88"/>
    <w:rsid w:val="00895386"/>
    <w:rsid w:val="008A21FF"/>
    <w:rsid w:val="008A2CE2"/>
    <w:rsid w:val="008A30AC"/>
    <w:rsid w:val="008A44B8"/>
    <w:rsid w:val="008A51A8"/>
    <w:rsid w:val="008A54C7"/>
    <w:rsid w:val="008A77D8"/>
    <w:rsid w:val="008B0483"/>
    <w:rsid w:val="008B120C"/>
    <w:rsid w:val="008B3B53"/>
    <w:rsid w:val="008B51A0"/>
    <w:rsid w:val="008B5325"/>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4AE"/>
    <w:rsid w:val="008F1EAB"/>
    <w:rsid w:val="008F33DC"/>
    <w:rsid w:val="008F477F"/>
    <w:rsid w:val="00902350"/>
    <w:rsid w:val="00902B41"/>
    <w:rsid w:val="0090336B"/>
    <w:rsid w:val="009053AA"/>
    <w:rsid w:val="00906939"/>
    <w:rsid w:val="00910B7D"/>
    <w:rsid w:val="00911DFB"/>
    <w:rsid w:val="009139D9"/>
    <w:rsid w:val="00914AD8"/>
    <w:rsid w:val="00914DB8"/>
    <w:rsid w:val="0091573F"/>
    <w:rsid w:val="00916079"/>
    <w:rsid w:val="00917CE9"/>
    <w:rsid w:val="00920BF2"/>
    <w:rsid w:val="00922010"/>
    <w:rsid w:val="00931BD9"/>
    <w:rsid w:val="009368F3"/>
    <w:rsid w:val="009407B1"/>
    <w:rsid w:val="00941636"/>
    <w:rsid w:val="00943742"/>
    <w:rsid w:val="00945C05"/>
    <w:rsid w:val="00946945"/>
    <w:rsid w:val="00947713"/>
    <w:rsid w:val="00950DE7"/>
    <w:rsid w:val="00952F63"/>
    <w:rsid w:val="00953920"/>
    <w:rsid w:val="00953D47"/>
    <w:rsid w:val="0095681E"/>
    <w:rsid w:val="009572D4"/>
    <w:rsid w:val="00961921"/>
    <w:rsid w:val="0096430A"/>
    <w:rsid w:val="0096554B"/>
    <w:rsid w:val="0096572C"/>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635"/>
    <w:rsid w:val="009A462D"/>
    <w:rsid w:val="009A4BF2"/>
    <w:rsid w:val="009A5CBA"/>
    <w:rsid w:val="009A5E9B"/>
    <w:rsid w:val="009B1F30"/>
    <w:rsid w:val="009B3AC2"/>
    <w:rsid w:val="009B3DCD"/>
    <w:rsid w:val="009B4DF4"/>
    <w:rsid w:val="009B564E"/>
    <w:rsid w:val="009B6F2D"/>
    <w:rsid w:val="009B7E87"/>
    <w:rsid w:val="009C2F83"/>
    <w:rsid w:val="009C403E"/>
    <w:rsid w:val="009D2B96"/>
    <w:rsid w:val="009D4FF0"/>
    <w:rsid w:val="009D6F88"/>
    <w:rsid w:val="009D703C"/>
    <w:rsid w:val="009D718F"/>
    <w:rsid w:val="009E068F"/>
    <w:rsid w:val="009E14E0"/>
    <w:rsid w:val="009E35DB"/>
    <w:rsid w:val="009E47A3"/>
    <w:rsid w:val="009F08F3"/>
    <w:rsid w:val="009F344F"/>
    <w:rsid w:val="00A02AEB"/>
    <w:rsid w:val="00A048A8"/>
    <w:rsid w:val="00A04F49"/>
    <w:rsid w:val="00A10134"/>
    <w:rsid w:val="00A13E54"/>
    <w:rsid w:val="00A17F63"/>
    <w:rsid w:val="00A2052C"/>
    <w:rsid w:val="00A2193B"/>
    <w:rsid w:val="00A22377"/>
    <w:rsid w:val="00A2351A"/>
    <w:rsid w:val="00A264A9"/>
    <w:rsid w:val="00A27785"/>
    <w:rsid w:val="00A30187"/>
    <w:rsid w:val="00A3448A"/>
    <w:rsid w:val="00A36297"/>
    <w:rsid w:val="00A41E2B"/>
    <w:rsid w:val="00A45B74"/>
    <w:rsid w:val="00A52E1D"/>
    <w:rsid w:val="00A53A77"/>
    <w:rsid w:val="00A55BC8"/>
    <w:rsid w:val="00A5616E"/>
    <w:rsid w:val="00A61499"/>
    <w:rsid w:val="00A62A77"/>
    <w:rsid w:val="00A63483"/>
    <w:rsid w:val="00A65395"/>
    <w:rsid w:val="00A657D7"/>
    <w:rsid w:val="00A65C70"/>
    <w:rsid w:val="00A660AC"/>
    <w:rsid w:val="00A66F55"/>
    <w:rsid w:val="00A67E6C"/>
    <w:rsid w:val="00A71B99"/>
    <w:rsid w:val="00A739D0"/>
    <w:rsid w:val="00A761D4"/>
    <w:rsid w:val="00A76C80"/>
    <w:rsid w:val="00A77EC4"/>
    <w:rsid w:val="00A92879"/>
    <w:rsid w:val="00A9442A"/>
    <w:rsid w:val="00AA016F"/>
    <w:rsid w:val="00AA1ED6"/>
    <w:rsid w:val="00AA51D6"/>
    <w:rsid w:val="00AB0BC8"/>
    <w:rsid w:val="00AB11CA"/>
    <w:rsid w:val="00AB14D9"/>
    <w:rsid w:val="00AB4AB8"/>
    <w:rsid w:val="00AB655E"/>
    <w:rsid w:val="00AC007F"/>
    <w:rsid w:val="00AC1B9D"/>
    <w:rsid w:val="00AC2ECD"/>
    <w:rsid w:val="00AC3119"/>
    <w:rsid w:val="00AC3425"/>
    <w:rsid w:val="00AC49FB"/>
    <w:rsid w:val="00AC5A10"/>
    <w:rsid w:val="00AD0AA3"/>
    <w:rsid w:val="00AD3F94"/>
    <w:rsid w:val="00AD4A5A"/>
    <w:rsid w:val="00AE27AC"/>
    <w:rsid w:val="00AE3743"/>
    <w:rsid w:val="00AE40E0"/>
    <w:rsid w:val="00AE4DBA"/>
    <w:rsid w:val="00AE4F07"/>
    <w:rsid w:val="00AF1C5D"/>
    <w:rsid w:val="00AF42D7"/>
    <w:rsid w:val="00AF5EFD"/>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2FA4"/>
    <w:rsid w:val="00B45A52"/>
    <w:rsid w:val="00B46175"/>
    <w:rsid w:val="00B6188F"/>
    <w:rsid w:val="00B65A1D"/>
    <w:rsid w:val="00B664C7"/>
    <w:rsid w:val="00B67E5F"/>
    <w:rsid w:val="00B739F6"/>
    <w:rsid w:val="00B7751C"/>
    <w:rsid w:val="00B81A6C"/>
    <w:rsid w:val="00B8574D"/>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EEB"/>
    <w:rsid w:val="00BD5F1A"/>
    <w:rsid w:val="00BE1234"/>
    <w:rsid w:val="00BE2FA6"/>
    <w:rsid w:val="00BE333F"/>
    <w:rsid w:val="00BE7406"/>
    <w:rsid w:val="00BE7603"/>
    <w:rsid w:val="00BF3279"/>
    <w:rsid w:val="00BF74C7"/>
    <w:rsid w:val="00C015F1"/>
    <w:rsid w:val="00C01B28"/>
    <w:rsid w:val="00C01F33"/>
    <w:rsid w:val="00C02CC6"/>
    <w:rsid w:val="00C040F7"/>
    <w:rsid w:val="00C041B0"/>
    <w:rsid w:val="00C04446"/>
    <w:rsid w:val="00C044AB"/>
    <w:rsid w:val="00C05706"/>
    <w:rsid w:val="00C07377"/>
    <w:rsid w:val="00C10478"/>
    <w:rsid w:val="00C12107"/>
    <w:rsid w:val="00C14D4B"/>
    <w:rsid w:val="00C154BB"/>
    <w:rsid w:val="00C15A16"/>
    <w:rsid w:val="00C24345"/>
    <w:rsid w:val="00C27409"/>
    <w:rsid w:val="00C279B5"/>
    <w:rsid w:val="00C27C45"/>
    <w:rsid w:val="00C3719D"/>
    <w:rsid w:val="00C43947"/>
    <w:rsid w:val="00C54995"/>
    <w:rsid w:val="00C54D41"/>
    <w:rsid w:val="00C562C1"/>
    <w:rsid w:val="00C60783"/>
    <w:rsid w:val="00C64672"/>
    <w:rsid w:val="00C70697"/>
    <w:rsid w:val="00C7205E"/>
    <w:rsid w:val="00C72EF4"/>
    <w:rsid w:val="00C73564"/>
    <w:rsid w:val="00C75D2F"/>
    <w:rsid w:val="00C767BE"/>
    <w:rsid w:val="00C76E3C"/>
    <w:rsid w:val="00C81568"/>
    <w:rsid w:val="00C8722C"/>
    <w:rsid w:val="00C9027A"/>
    <w:rsid w:val="00C9068E"/>
    <w:rsid w:val="00C93C4B"/>
    <w:rsid w:val="00C93CE5"/>
    <w:rsid w:val="00C944AB"/>
    <w:rsid w:val="00C95B40"/>
    <w:rsid w:val="00CA1ED8"/>
    <w:rsid w:val="00CA347A"/>
    <w:rsid w:val="00CA6AD5"/>
    <w:rsid w:val="00CB1F63"/>
    <w:rsid w:val="00CB5089"/>
    <w:rsid w:val="00CB7170"/>
    <w:rsid w:val="00CC040E"/>
    <w:rsid w:val="00CC111F"/>
    <w:rsid w:val="00CC2011"/>
    <w:rsid w:val="00CC3EA0"/>
    <w:rsid w:val="00CC72C0"/>
    <w:rsid w:val="00CC7B45"/>
    <w:rsid w:val="00CD1188"/>
    <w:rsid w:val="00CD2546"/>
    <w:rsid w:val="00CD2ED1"/>
    <w:rsid w:val="00CD337B"/>
    <w:rsid w:val="00CD448E"/>
    <w:rsid w:val="00CE0424"/>
    <w:rsid w:val="00CE5C3A"/>
    <w:rsid w:val="00CE7561"/>
    <w:rsid w:val="00CF1354"/>
    <w:rsid w:val="00CF3B1F"/>
    <w:rsid w:val="00CF3BF6"/>
    <w:rsid w:val="00CF625B"/>
    <w:rsid w:val="00CF687E"/>
    <w:rsid w:val="00D0349B"/>
    <w:rsid w:val="00D10249"/>
    <w:rsid w:val="00D115C3"/>
    <w:rsid w:val="00D11897"/>
    <w:rsid w:val="00D13135"/>
    <w:rsid w:val="00D13E4E"/>
    <w:rsid w:val="00D1641D"/>
    <w:rsid w:val="00D239A7"/>
    <w:rsid w:val="00D23F47"/>
    <w:rsid w:val="00D36E71"/>
    <w:rsid w:val="00D37D87"/>
    <w:rsid w:val="00D40B33"/>
    <w:rsid w:val="00D4318F"/>
    <w:rsid w:val="00D438BF"/>
    <w:rsid w:val="00D440F8"/>
    <w:rsid w:val="00D50F97"/>
    <w:rsid w:val="00D5304D"/>
    <w:rsid w:val="00D546FF"/>
    <w:rsid w:val="00D55AD5"/>
    <w:rsid w:val="00D576CA"/>
    <w:rsid w:val="00D61AF5"/>
    <w:rsid w:val="00D6204D"/>
    <w:rsid w:val="00D652B5"/>
    <w:rsid w:val="00D66155"/>
    <w:rsid w:val="00D708B0"/>
    <w:rsid w:val="00D72698"/>
    <w:rsid w:val="00D77B1D"/>
    <w:rsid w:val="00D8021F"/>
    <w:rsid w:val="00D80383"/>
    <w:rsid w:val="00D823C6"/>
    <w:rsid w:val="00D861FA"/>
    <w:rsid w:val="00D86CA3"/>
    <w:rsid w:val="00D871CE"/>
    <w:rsid w:val="00D9196D"/>
    <w:rsid w:val="00D92982"/>
    <w:rsid w:val="00DA1294"/>
    <w:rsid w:val="00DA305E"/>
    <w:rsid w:val="00DA39D7"/>
    <w:rsid w:val="00DA5417"/>
    <w:rsid w:val="00DA56E8"/>
    <w:rsid w:val="00DB0A9F"/>
    <w:rsid w:val="00DB377D"/>
    <w:rsid w:val="00DB3B9B"/>
    <w:rsid w:val="00DC2D36"/>
    <w:rsid w:val="00DC53EF"/>
    <w:rsid w:val="00DE5608"/>
    <w:rsid w:val="00DE5815"/>
    <w:rsid w:val="00DE58D0"/>
    <w:rsid w:val="00DE64E8"/>
    <w:rsid w:val="00DE654F"/>
    <w:rsid w:val="00DF0B6E"/>
    <w:rsid w:val="00DF15E0"/>
    <w:rsid w:val="00DF37A0"/>
    <w:rsid w:val="00E05E88"/>
    <w:rsid w:val="00E110E7"/>
    <w:rsid w:val="00E11B20"/>
    <w:rsid w:val="00E17FA2"/>
    <w:rsid w:val="00E22330"/>
    <w:rsid w:val="00E30B5A"/>
    <w:rsid w:val="00E3123D"/>
    <w:rsid w:val="00E31461"/>
    <w:rsid w:val="00E31D43"/>
    <w:rsid w:val="00E32608"/>
    <w:rsid w:val="00E32DB9"/>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6A7"/>
    <w:rsid w:val="00E758EC"/>
    <w:rsid w:val="00E8234C"/>
    <w:rsid w:val="00E83AA9"/>
    <w:rsid w:val="00E85928"/>
    <w:rsid w:val="00E87822"/>
    <w:rsid w:val="00E90395"/>
    <w:rsid w:val="00E90E49"/>
    <w:rsid w:val="00E917F9"/>
    <w:rsid w:val="00E9291C"/>
    <w:rsid w:val="00E93FFE"/>
    <w:rsid w:val="00E94F8A"/>
    <w:rsid w:val="00E97664"/>
    <w:rsid w:val="00EA7A41"/>
    <w:rsid w:val="00EB077B"/>
    <w:rsid w:val="00EB4EA2"/>
    <w:rsid w:val="00EB63F5"/>
    <w:rsid w:val="00EC27C6"/>
    <w:rsid w:val="00EC4207"/>
    <w:rsid w:val="00EC5653"/>
    <w:rsid w:val="00EC71CE"/>
    <w:rsid w:val="00ED1006"/>
    <w:rsid w:val="00ED595D"/>
    <w:rsid w:val="00EE13B8"/>
    <w:rsid w:val="00EE2915"/>
    <w:rsid w:val="00EF18FE"/>
    <w:rsid w:val="00EF46B8"/>
    <w:rsid w:val="00EF5787"/>
    <w:rsid w:val="00EF60D0"/>
    <w:rsid w:val="00F04219"/>
    <w:rsid w:val="00F0528D"/>
    <w:rsid w:val="00F05427"/>
    <w:rsid w:val="00F06C67"/>
    <w:rsid w:val="00F06DFD"/>
    <w:rsid w:val="00F071D1"/>
    <w:rsid w:val="00F07533"/>
    <w:rsid w:val="00F10629"/>
    <w:rsid w:val="00F12189"/>
    <w:rsid w:val="00F15FA5"/>
    <w:rsid w:val="00F209B7"/>
    <w:rsid w:val="00F22F89"/>
    <w:rsid w:val="00F2376F"/>
    <w:rsid w:val="00F243D8"/>
    <w:rsid w:val="00F24F22"/>
    <w:rsid w:val="00F30828"/>
    <w:rsid w:val="00F313D6"/>
    <w:rsid w:val="00F40F0C"/>
    <w:rsid w:val="00F43E99"/>
    <w:rsid w:val="00F4766C"/>
    <w:rsid w:val="00F507D1"/>
    <w:rsid w:val="00F519CE"/>
    <w:rsid w:val="00F519D4"/>
    <w:rsid w:val="00F51ADA"/>
    <w:rsid w:val="00F6005F"/>
    <w:rsid w:val="00F607C5"/>
    <w:rsid w:val="00F60DEA"/>
    <w:rsid w:val="00F6299C"/>
    <w:rsid w:val="00F6302A"/>
    <w:rsid w:val="00F64C2B"/>
    <w:rsid w:val="00F651BE"/>
    <w:rsid w:val="00F67F53"/>
    <w:rsid w:val="00F703BE"/>
    <w:rsid w:val="00F71F69"/>
    <w:rsid w:val="00F72B72"/>
    <w:rsid w:val="00F74BB9"/>
    <w:rsid w:val="00F75582"/>
    <w:rsid w:val="00F76EFA"/>
    <w:rsid w:val="00F804BE"/>
    <w:rsid w:val="00F817CE"/>
    <w:rsid w:val="00F81DA3"/>
    <w:rsid w:val="00F8456C"/>
    <w:rsid w:val="00F859D8"/>
    <w:rsid w:val="00F8680D"/>
    <w:rsid w:val="00F868F5"/>
    <w:rsid w:val="00F9056A"/>
    <w:rsid w:val="00F90C6A"/>
    <w:rsid w:val="00F90F8D"/>
    <w:rsid w:val="00F92782"/>
    <w:rsid w:val="00F93AA9"/>
    <w:rsid w:val="00F96985"/>
    <w:rsid w:val="00F969EB"/>
    <w:rsid w:val="00F97838"/>
    <w:rsid w:val="00FA2BB3"/>
    <w:rsid w:val="00FB21A3"/>
    <w:rsid w:val="00FB4C80"/>
    <w:rsid w:val="00FB6A6A"/>
    <w:rsid w:val="00FC4398"/>
    <w:rsid w:val="00FC7429"/>
    <w:rsid w:val="00FD07F6"/>
    <w:rsid w:val="00FD1EC8"/>
    <w:rsid w:val="00FD47ED"/>
    <w:rsid w:val="00FD5626"/>
    <w:rsid w:val="00FD57E1"/>
    <w:rsid w:val="00FD74DB"/>
    <w:rsid w:val="00FD7660"/>
    <w:rsid w:val="00FE0655"/>
    <w:rsid w:val="00FE2365"/>
    <w:rsid w:val="00FE4C7B"/>
    <w:rsid w:val="00FE7336"/>
    <w:rsid w:val="00FE774C"/>
    <w:rsid w:val="00FE787C"/>
    <w:rsid w:val="00FF313C"/>
    <w:rsid w:val="00FF45A5"/>
    <w:rsid w:val="00FF48FB"/>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51E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65A1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65A1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5A1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5A1D"/>
    <w:pPr>
      <w:numPr>
        <w:ilvl w:val="2"/>
      </w:numPr>
      <w:spacing w:before="120"/>
      <w:outlineLvl w:val="2"/>
    </w:pPr>
    <w:rPr>
      <w:sz w:val="28"/>
      <w:szCs w:val="28"/>
    </w:rPr>
  </w:style>
  <w:style w:type="paragraph" w:styleId="Heading4">
    <w:name w:val="heading 4"/>
    <w:basedOn w:val="Heading3"/>
    <w:next w:val="Normal"/>
    <w:qFormat/>
    <w:rsid w:val="00B65A1D"/>
    <w:pPr>
      <w:numPr>
        <w:ilvl w:val="3"/>
      </w:numPr>
      <w:outlineLvl w:val="3"/>
    </w:pPr>
    <w:rPr>
      <w:sz w:val="24"/>
      <w:szCs w:val="24"/>
    </w:rPr>
  </w:style>
  <w:style w:type="paragraph" w:styleId="Heading5">
    <w:name w:val="heading 5"/>
    <w:basedOn w:val="Heading4"/>
    <w:next w:val="Normal"/>
    <w:qFormat/>
    <w:rsid w:val="00B65A1D"/>
    <w:pPr>
      <w:numPr>
        <w:ilvl w:val="4"/>
      </w:numPr>
      <w:outlineLvl w:val="4"/>
    </w:pPr>
    <w:rPr>
      <w:sz w:val="22"/>
      <w:szCs w:val="22"/>
    </w:rPr>
  </w:style>
  <w:style w:type="paragraph" w:styleId="Heading6">
    <w:name w:val="heading 6"/>
    <w:basedOn w:val="Normal"/>
    <w:next w:val="Normal"/>
    <w:qFormat/>
    <w:rsid w:val="00B65A1D"/>
    <w:pPr>
      <w:keepNext/>
      <w:keepLines/>
      <w:numPr>
        <w:ilvl w:val="5"/>
        <w:numId w:val="1"/>
      </w:numPr>
      <w:spacing w:before="120"/>
      <w:outlineLvl w:val="5"/>
    </w:pPr>
    <w:rPr>
      <w:rFonts w:cs="Arial"/>
    </w:rPr>
  </w:style>
  <w:style w:type="paragraph" w:styleId="Heading7">
    <w:name w:val="heading 7"/>
    <w:basedOn w:val="Normal"/>
    <w:next w:val="Normal"/>
    <w:qFormat/>
    <w:rsid w:val="00B65A1D"/>
    <w:pPr>
      <w:keepNext/>
      <w:keepLines/>
      <w:numPr>
        <w:ilvl w:val="6"/>
        <w:numId w:val="1"/>
      </w:numPr>
      <w:spacing w:before="120"/>
      <w:outlineLvl w:val="6"/>
    </w:pPr>
    <w:rPr>
      <w:rFonts w:cs="Arial"/>
    </w:rPr>
  </w:style>
  <w:style w:type="paragraph" w:styleId="Heading8">
    <w:name w:val="heading 8"/>
    <w:basedOn w:val="Heading7"/>
    <w:next w:val="Normal"/>
    <w:qFormat/>
    <w:rsid w:val="00B65A1D"/>
    <w:pPr>
      <w:numPr>
        <w:ilvl w:val="7"/>
      </w:numPr>
      <w:outlineLvl w:val="7"/>
    </w:pPr>
  </w:style>
  <w:style w:type="paragraph" w:styleId="Heading9">
    <w:name w:val="heading 9"/>
    <w:basedOn w:val="Heading8"/>
    <w:next w:val="Normal"/>
    <w:qFormat/>
    <w:rsid w:val="00B65A1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5A1D"/>
    <w:pPr>
      <w:spacing w:before="180"/>
      <w:ind w:left="2693" w:hanging="2693"/>
    </w:pPr>
    <w:rPr>
      <w:b w:val="0"/>
      <w:bCs/>
    </w:rPr>
  </w:style>
  <w:style w:type="paragraph" w:styleId="TOC1">
    <w:name w:val="toc 1"/>
    <w:aliases w:val="Observation TOC2"/>
    <w:uiPriority w:val="39"/>
    <w:rsid w:val="00B65A1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65A1D"/>
    <w:pPr>
      <w:keepNext/>
      <w:keepLines/>
      <w:spacing w:before="180"/>
      <w:jc w:val="center"/>
    </w:pPr>
  </w:style>
  <w:style w:type="paragraph" w:styleId="Caption">
    <w:name w:val="caption"/>
    <w:basedOn w:val="Normal"/>
    <w:next w:val="Normal"/>
    <w:qFormat/>
    <w:rsid w:val="00B65A1D"/>
    <w:pPr>
      <w:spacing w:after="240"/>
      <w:jc w:val="center"/>
    </w:pPr>
    <w:rPr>
      <w:b/>
      <w:bCs/>
    </w:rPr>
  </w:style>
  <w:style w:type="paragraph" w:styleId="TOC5">
    <w:name w:val="toc 5"/>
    <w:aliases w:val="Observation TOC"/>
    <w:basedOn w:val="TOC4"/>
    <w:semiHidden/>
    <w:rsid w:val="00B65A1D"/>
    <w:pPr>
      <w:tabs>
        <w:tab w:val="right" w:pos="1701"/>
      </w:tabs>
      <w:ind w:left="1701" w:hanging="1701"/>
    </w:pPr>
  </w:style>
  <w:style w:type="paragraph" w:styleId="TOC4">
    <w:name w:val="toc 4"/>
    <w:basedOn w:val="TOC3"/>
    <w:semiHidden/>
    <w:rsid w:val="00B65A1D"/>
    <w:pPr>
      <w:ind w:left="1418" w:hanging="1418"/>
    </w:pPr>
  </w:style>
  <w:style w:type="paragraph" w:styleId="TOC3">
    <w:name w:val="toc 3"/>
    <w:basedOn w:val="TOC2"/>
    <w:semiHidden/>
    <w:rsid w:val="00B65A1D"/>
    <w:pPr>
      <w:ind w:left="1134" w:hanging="1134"/>
    </w:pPr>
  </w:style>
  <w:style w:type="paragraph" w:styleId="TOC2">
    <w:name w:val="toc 2"/>
    <w:basedOn w:val="TOC1"/>
    <w:semiHidden/>
    <w:rsid w:val="00B65A1D"/>
    <w:pPr>
      <w:keepNext w:val="0"/>
      <w:spacing w:before="0"/>
      <w:ind w:left="851" w:hanging="851"/>
    </w:pPr>
    <w:rPr>
      <w:szCs w:val="20"/>
    </w:rPr>
  </w:style>
  <w:style w:type="paragraph" w:styleId="Index2">
    <w:name w:val="index 2"/>
    <w:basedOn w:val="Index1"/>
    <w:semiHidden/>
    <w:rsid w:val="00B65A1D"/>
    <w:pPr>
      <w:ind w:left="284"/>
    </w:pPr>
  </w:style>
  <w:style w:type="paragraph" w:styleId="Index1">
    <w:name w:val="index 1"/>
    <w:basedOn w:val="Normal"/>
    <w:semiHidden/>
    <w:rsid w:val="00B65A1D"/>
    <w:pPr>
      <w:keepLines/>
      <w:spacing w:after="0"/>
    </w:pPr>
  </w:style>
  <w:style w:type="paragraph" w:styleId="DocumentMap">
    <w:name w:val="Document Map"/>
    <w:basedOn w:val="Normal"/>
    <w:semiHidden/>
    <w:rsid w:val="00B65A1D"/>
    <w:pPr>
      <w:shd w:val="clear" w:color="auto" w:fill="000080"/>
    </w:pPr>
    <w:rPr>
      <w:rFonts w:ascii="Tahoma" w:hAnsi="Tahoma" w:cs="Tahoma"/>
    </w:rPr>
  </w:style>
  <w:style w:type="paragraph" w:styleId="ListNumber2">
    <w:name w:val="List Number 2"/>
    <w:basedOn w:val="ListNumber"/>
    <w:rsid w:val="00B65A1D"/>
    <w:pPr>
      <w:ind w:left="851"/>
    </w:pPr>
  </w:style>
  <w:style w:type="paragraph" w:styleId="ListNumber">
    <w:name w:val="List Number"/>
    <w:basedOn w:val="List"/>
    <w:rsid w:val="00B65A1D"/>
  </w:style>
  <w:style w:type="paragraph" w:styleId="List">
    <w:name w:val="List"/>
    <w:basedOn w:val="Normal"/>
    <w:rsid w:val="00B65A1D"/>
    <w:pPr>
      <w:ind w:left="568" w:hanging="284"/>
    </w:pPr>
  </w:style>
  <w:style w:type="paragraph" w:styleId="Header">
    <w:name w:val="header"/>
    <w:rsid w:val="00B65A1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65A1D"/>
    <w:rPr>
      <w:b/>
      <w:bCs/>
      <w:position w:val="6"/>
      <w:sz w:val="16"/>
      <w:szCs w:val="16"/>
    </w:rPr>
  </w:style>
  <w:style w:type="paragraph" w:styleId="FootnoteText">
    <w:name w:val="footnote text"/>
    <w:basedOn w:val="Normal"/>
    <w:semiHidden/>
    <w:rsid w:val="00B65A1D"/>
    <w:pPr>
      <w:keepLines/>
      <w:spacing w:after="0"/>
      <w:ind w:left="454" w:hanging="454"/>
    </w:pPr>
    <w:rPr>
      <w:sz w:val="16"/>
      <w:szCs w:val="16"/>
    </w:rPr>
  </w:style>
  <w:style w:type="paragraph" w:customStyle="1" w:styleId="3GPPHeader">
    <w:name w:val="3GPP_Header"/>
    <w:basedOn w:val="Normal"/>
    <w:rsid w:val="00B65A1D"/>
    <w:pPr>
      <w:tabs>
        <w:tab w:val="left" w:pos="1701"/>
        <w:tab w:val="right" w:pos="9639"/>
      </w:tabs>
      <w:spacing w:after="240"/>
    </w:pPr>
    <w:rPr>
      <w:b/>
      <w:sz w:val="24"/>
    </w:rPr>
  </w:style>
  <w:style w:type="paragraph" w:styleId="TOC9">
    <w:name w:val="toc 9"/>
    <w:basedOn w:val="TOC8"/>
    <w:semiHidden/>
    <w:rsid w:val="00B65A1D"/>
    <w:pPr>
      <w:ind w:left="1418" w:hanging="1418"/>
    </w:pPr>
  </w:style>
  <w:style w:type="paragraph" w:styleId="TOC6">
    <w:name w:val="toc 6"/>
    <w:basedOn w:val="TOC5"/>
    <w:next w:val="Normal"/>
    <w:semiHidden/>
    <w:rsid w:val="00B65A1D"/>
    <w:pPr>
      <w:ind w:left="1985" w:hanging="1985"/>
    </w:pPr>
  </w:style>
  <w:style w:type="paragraph" w:styleId="TOC7">
    <w:name w:val="toc 7"/>
    <w:basedOn w:val="TOC6"/>
    <w:next w:val="Normal"/>
    <w:semiHidden/>
    <w:rsid w:val="00B65A1D"/>
    <w:pPr>
      <w:ind w:left="2268" w:hanging="2268"/>
    </w:pPr>
  </w:style>
  <w:style w:type="paragraph" w:styleId="ListBullet2">
    <w:name w:val="List Bullet 2"/>
    <w:basedOn w:val="ListBullet"/>
    <w:rsid w:val="00B65A1D"/>
    <w:pPr>
      <w:numPr>
        <w:numId w:val="6"/>
      </w:numPr>
    </w:pPr>
  </w:style>
  <w:style w:type="paragraph" w:styleId="ListBullet">
    <w:name w:val="List Bullet"/>
    <w:basedOn w:val="BodyText"/>
    <w:rsid w:val="00B65A1D"/>
    <w:pPr>
      <w:numPr>
        <w:numId w:val="5"/>
      </w:numPr>
    </w:pPr>
  </w:style>
  <w:style w:type="paragraph" w:styleId="ListBullet3">
    <w:name w:val="List Bullet 3"/>
    <w:basedOn w:val="ListBullet2"/>
    <w:rsid w:val="00B65A1D"/>
    <w:pPr>
      <w:numPr>
        <w:numId w:val="7"/>
      </w:numPr>
    </w:pPr>
  </w:style>
  <w:style w:type="paragraph" w:customStyle="1" w:styleId="EQ">
    <w:name w:val="EQ"/>
    <w:basedOn w:val="Normal"/>
    <w:next w:val="Normal"/>
    <w:rsid w:val="00B65A1D"/>
    <w:pPr>
      <w:keepLines/>
      <w:tabs>
        <w:tab w:val="center" w:pos="4536"/>
        <w:tab w:val="right" w:pos="9072"/>
      </w:tabs>
      <w:spacing w:after="180"/>
      <w:jc w:val="left"/>
    </w:pPr>
    <w:rPr>
      <w:noProof/>
      <w:lang w:eastAsia="en-US"/>
    </w:rPr>
  </w:style>
  <w:style w:type="paragraph" w:styleId="List2">
    <w:name w:val="List 2"/>
    <w:basedOn w:val="List"/>
    <w:rsid w:val="00B65A1D"/>
    <w:pPr>
      <w:ind w:left="851"/>
    </w:pPr>
  </w:style>
  <w:style w:type="paragraph" w:styleId="List3">
    <w:name w:val="List 3"/>
    <w:basedOn w:val="List2"/>
    <w:rsid w:val="00B65A1D"/>
    <w:pPr>
      <w:ind w:left="1135"/>
    </w:pPr>
  </w:style>
  <w:style w:type="paragraph" w:styleId="List4">
    <w:name w:val="List 4"/>
    <w:basedOn w:val="List3"/>
    <w:rsid w:val="00B65A1D"/>
    <w:pPr>
      <w:ind w:left="1418"/>
    </w:pPr>
  </w:style>
  <w:style w:type="paragraph" w:styleId="List5">
    <w:name w:val="List 5"/>
    <w:basedOn w:val="List4"/>
    <w:rsid w:val="00B65A1D"/>
    <w:pPr>
      <w:ind w:left="1702"/>
    </w:pPr>
  </w:style>
  <w:style w:type="paragraph" w:customStyle="1" w:styleId="EditorsNote">
    <w:name w:val="Editor's Note"/>
    <w:basedOn w:val="Normal"/>
    <w:rsid w:val="00B65A1D"/>
    <w:pPr>
      <w:keepLines/>
      <w:spacing w:after="180"/>
      <w:ind w:left="1135" w:hanging="851"/>
      <w:jc w:val="left"/>
    </w:pPr>
    <w:rPr>
      <w:color w:val="FF0000"/>
      <w:lang w:eastAsia="en-US"/>
    </w:rPr>
  </w:style>
  <w:style w:type="paragraph" w:styleId="ListBullet4">
    <w:name w:val="List Bullet 4"/>
    <w:basedOn w:val="ListBullet3"/>
    <w:rsid w:val="00B65A1D"/>
    <w:pPr>
      <w:numPr>
        <w:numId w:val="8"/>
      </w:numPr>
    </w:pPr>
  </w:style>
  <w:style w:type="paragraph" w:styleId="ListBullet5">
    <w:name w:val="List Bullet 5"/>
    <w:basedOn w:val="ListBullet4"/>
    <w:rsid w:val="00B65A1D"/>
    <w:pPr>
      <w:numPr>
        <w:numId w:val="4"/>
      </w:numPr>
    </w:pPr>
  </w:style>
  <w:style w:type="paragraph" w:styleId="Footer">
    <w:name w:val="footer"/>
    <w:basedOn w:val="Header"/>
    <w:semiHidden/>
    <w:rsid w:val="00B65A1D"/>
    <w:pPr>
      <w:jc w:val="center"/>
    </w:pPr>
    <w:rPr>
      <w:i/>
      <w:iCs/>
    </w:rPr>
  </w:style>
  <w:style w:type="paragraph" w:customStyle="1" w:styleId="Reference">
    <w:name w:val="Reference"/>
    <w:basedOn w:val="Normal"/>
    <w:rsid w:val="00B65A1D"/>
    <w:pPr>
      <w:numPr>
        <w:numId w:val="2"/>
      </w:numPr>
    </w:pPr>
  </w:style>
  <w:style w:type="paragraph" w:styleId="BalloonText">
    <w:name w:val="Balloon Text"/>
    <w:basedOn w:val="Normal"/>
    <w:semiHidden/>
    <w:rsid w:val="00B65A1D"/>
    <w:rPr>
      <w:rFonts w:ascii="Tahoma" w:hAnsi="Tahoma" w:cs="Tahoma"/>
      <w:sz w:val="16"/>
      <w:szCs w:val="16"/>
    </w:rPr>
  </w:style>
  <w:style w:type="character" w:styleId="PageNumber">
    <w:name w:val="page number"/>
    <w:basedOn w:val="DefaultParagraphFont"/>
    <w:semiHidden/>
    <w:rsid w:val="00B65A1D"/>
  </w:style>
  <w:style w:type="paragraph" w:styleId="BodyText">
    <w:name w:val="Body Text"/>
    <w:basedOn w:val="Normal"/>
    <w:link w:val="BodyTextChar"/>
    <w:rsid w:val="00B65A1D"/>
  </w:style>
  <w:style w:type="character" w:styleId="Hyperlink">
    <w:name w:val="Hyperlink"/>
    <w:uiPriority w:val="99"/>
    <w:rsid w:val="00B65A1D"/>
    <w:rPr>
      <w:color w:val="0000FF"/>
      <w:u w:val="single"/>
      <w:lang w:val="en-GB"/>
    </w:rPr>
  </w:style>
  <w:style w:type="character" w:styleId="FollowedHyperlink">
    <w:name w:val="FollowedHyperlink"/>
    <w:semiHidden/>
    <w:rsid w:val="00B65A1D"/>
    <w:rPr>
      <w:color w:val="FF0000"/>
      <w:u w:val="single"/>
    </w:rPr>
  </w:style>
  <w:style w:type="character" w:styleId="CommentReference">
    <w:name w:val="annotation reference"/>
    <w:semiHidden/>
    <w:rsid w:val="00B65A1D"/>
    <w:rPr>
      <w:sz w:val="16"/>
      <w:szCs w:val="16"/>
    </w:rPr>
  </w:style>
  <w:style w:type="paragraph" w:styleId="CommentText">
    <w:name w:val="annotation text"/>
    <w:basedOn w:val="Normal"/>
    <w:semiHidden/>
    <w:rsid w:val="00B65A1D"/>
  </w:style>
  <w:style w:type="paragraph" w:styleId="CommentSubject">
    <w:name w:val="annotation subject"/>
    <w:basedOn w:val="CommentText"/>
    <w:next w:val="CommentText"/>
    <w:semiHidden/>
    <w:rsid w:val="00B65A1D"/>
    <w:rPr>
      <w:b/>
      <w:bCs/>
    </w:rPr>
  </w:style>
  <w:style w:type="character" w:customStyle="1" w:styleId="Heading1Char">
    <w:name w:val="Heading 1 Char"/>
    <w:link w:val="Heading1"/>
    <w:rsid w:val="00B65A1D"/>
    <w:rPr>
      <w:rFonts w:ascii="Arial" w:hAnsi="Arial" w:cs="Arial"/>
      <w:sz w:val="36"/>
      <w:szCs w:val="36"/>
      <w:lang w:val="en-GB" w:eastAsia="zh-CN"/>
    </w:rPr>
  </w:style>
  <w:style w:type="paragraph" w:customStyle="1" w:styleId="B1">
    <w:name w:val="B1"/>
    <w:basedOn w:val="List"/>
    <w:rsid w:val="00B65A1D"/>
    <w:pPr>
      <w:spacing w:after="180"/>
      <w:jc w:val="left"/>
    </w:pPr>
    <w:rPr>
      <w:lang w:eastAsia="en-US"/>
    </w:rPr>
  </w:style>
  <w:style w:type="paragraph" w:customStyle="1" w:styleId="B2">
    <w:name w:val="B2"/>
    <w:basedOn w:val="List2"/>
    <w:rsid w:val="00B65A1D"/>
    <w:pPr>
      <w:spacing w:after="180"/>
      <w:jc w:val="left"/>
    </w:pPr>
    <w:rPr>
      <w:lang w:eastAsia="en-US"/>
    </w:rPr>
  </w:style>
  <w:style w:type="paragraph" w:customStyle="1" w:styleId="B3">
    <w:name w:val="B3"/>
    <w:basedOn w:val="List3"/>
    <w:rsid w:val="00B65A1D"/>
    <w:pPr>
      <w:spacing w:after="180"/>
      <w:jc w:val="left"/>
    </w:pPr>
    <w:rPr>
      <w:lang w:eastAsia="en-US"/>
    </w:rPr>
  </w:style>
  <w:style w:type="paragraph" w:customStyle="1" w:styleId="B4">
    <w:name w:val="B4"/>
    <w:basedOn w:val="List4"/>
    <w:rsid w:val="00B65A1D"/>
    <w:pPr>
      <w:spacing w:after="180"/>
      <w:jc w:val="left"/>
    </w:pPr>
    <w:rPr>
      <w:lang w:eastAsia="en-US"/>
    </w:rPr>
  </w:style>
  <w:style w:type="paragraph" w:customStyle="1" w:styleId="Proposal">
    <w:name w:val="Proposal"/>
    <w:basedOn w:val="Normal"/>
    <w:rsid w:val="00B65A1D"/>
    <w:pPr>
      <w:numPr>
        <w:numId w:val="3"/>
      </w:numPr>
      <w:tabs>
        <w:tab w:val="clear" w:pos="1304"/>
        <w:tab w:val="left" w:pos="1701"/>
      </w:tabs>
      <w:ind w:left="1701" w:hanging="1701"/>
    </w:pPr>
    <w:rPr>
      <w:b/>
      <w:bCs/>
    </w:rPr>
  </w:style>
  <w:style w:type="character" w:customStyle="1" w:styleId="BodyTextChar">
    <w:name w:val="Body Text Char"/>
    <w:link w:val="BodyText"/>
    <w:rsid w:val="00B65A1D"/>
    <w:rPr>
      <w:rFonts w:ascii="Arial" w:hAnsi="Arial"/>
      <w:lang w:val="en-GB" w:eastAsia="zh-CN"/>
    </w:rPr>
  </w:style>
  <w:style w:type="paragraph" w:customStyle="1" w:styleId="B5">
    <w:name w:val="B5"/>
    <w:basedOn w:val="List5"/>
    <w:rsid w:val="00B65A1D"/>
    <w:pPr>
      <w:spacing w:after="180"/>
      <w:jc w:val="left"/>
    </w:pPr>
    <w:rPr>
      <w:lang w:eastAsia="en-US"/>
    </w:rPr>
  </w:style>
  <w:style w:type="paragraph" w:customStyle="1" w:styleId="EX">
    <w:name w:val="EX"/>
    <w:basedOn w:val="Normal"/>
    <w:rsid w:val="00B65A1D"/>
    <w:pPr>
      <w:keepLines/>
      <w:spacing w:after="180"/>
      <w:ind w:left="1702" w:hanging="1418"/>
      <w:jc w:val="left"/>
    </w:pPr>
    <w:rPr>
      <w:lang w:eastAsia="en-US"/>
    </w:rPr>
  </w:style>
  <w:style w:type="paragraph" w:customStyle="1" w:styleId="EW">
    <w:name w:val="EW"/>
    <w:basedOn w:val="EX"/>
    <w:rsid w:val="00B65A1D"/>
    <w:pPr>
      <w:spacing w:after="0"/>
    </w:pPr>
  </w:style>
  <w:style w:type="paragraph" w:customStyle="1" w:styleId="TAL">
    <w:name w:val="TAL"/>
    <w:basedOn w:val="Normal"/>
    <w:rsid w:val="00B65A1D"/>
    <w:pPr>
      <w:keepNext/>
      <w:keepLines/>
      <w:spacing w:after="0"/>
      <w:jc w:val="left"/>
    </w:pPr>
    <w:rPr>
      <w:sz w:val="18"/>
      <w:lang w:eastAsia="en-US"/>
    </w:rPr>
  </w:style>
  <w:style w:type="paragraph" w:customStyle="1" w:styleId="TAC">
    <w:name w:val="TAC"/>
    <w:basedOn w:val="TAL"/>
    <w:rsid w:val="00B65A1D"/>
    <w:pPr>
      <w:jc w:val="center"/>
    </w:pPr>
  </w:style>
  <w:style w:type="paragraph" w:customStyle="1" w:styleId="TAH">
    <w:name w:val="TAH"/>
    <w:basedOn w:val="TAC"/>
    <w:rsid w:val="00B65A1D"/>
    <w:rPr>
      <w:b/>
    </w:rPr>
  </w:style>
  <w:style w:type="paragraph" w:customStyle="1" w:styleId="TAN">
    <w:name w:val="TAN"/>
    <w:basedOn w:val="TAL"/>
    <w:rsid w:val="00B65A1D"/>
    <w:pPr>
      <w:ind w:left="851" w:hanging="851"/>
    </w:pPr>
  </w:style>
  <w:style w:type="paragraph" w:customStyle="1" w:styleId="TAR">
    <w:name w:val="TAR"/>
    <w:basedOn w:val="TAL"/>
    <w:rsid w:val="00B65A1D"/>
    <w:pPr>
      <w:jc w:val="right"/>
    </w:pPr>
  </w:style>
  <w:style w:type="paragraph" w:customStyle="1" w:styleId="TH">
    <w:name w:val="TH"/>
    <w:basedOn w:val="Normal"/>
    <w:link w:val="THChar"/>
    <w:rsid w:val="00B65A1D"/>
    <w:pPr>
      <w:keepNext/>
      <w:keepLines/>
      <w:spacing w:before="60" w:after="180"/>
      <w:jc w:val="center"/>
    </w:pPr>
    <w:rPr>
      <w:b/>
      <w:lang w:eastAsia="en-US"/>
    </w:rPr>
  </w:style>
  <w:style w:type="paragraph" w:customStyle="1" w:styleId="TF">
    <w:name w:val="TF"/>
    <w:basedOn w:val="TH"/>
    <w:rsid w:val="00B65A1D"/>
    <w:pPr>
      <w:keepNext w:val="0"/>
      <w:spacing w:before="0" w:after="240"/>
    </w:pPr>
  </w:style>
  <w:style w:type="paragraph" w:customStyle="1" w:styleId="TT">
    <w:name w:val="TT"/>
    <w:basedOn w:val="Heading1"/>
    <w:next w:val="Normal"/>
    <w:rsid w:val="00B65A1D"/>
    <w:pPr>
      <w:numPr>
        <w:numId w:val="0"/>
      </w:numPr>
      <w:ind w:left="1134" w:hanging="1134"/>
      <w:outlineLvl w:val="9"/>
    </w:pPr>
    <w:rPr>
      <w:rFonts w:cs="Times New Roman"/>
      <w:szCs w:val="20"/>
      <w:lang w:eastAsia="en-US"/>
    </w:rPr>
  </w:style>
  <w:style w:type="paragraph" w:customStyle="1" w:styleId="ZA">
    <w:name w:val="ZA"/>
    <w:rsid w:val="00B65A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A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5A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65A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65A1D"/>
  </w:style>
  <w:style w:type="paragraph" w:customStyle="1" w:styleId="ZH">
    <w:name w:val="ZH"/>
    <w:rsid w:val="00B65A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65A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65A1D"/>
    <w:pPr>
      <w:framePr w:hRule="auto" w:wrap="notBeside" w:y="852"/>
    </w:pPr>
    <w:rPr>
      <w:i w:val="0"/>
      <w:sz w:val="40"/>
    </w:rPr>
  </w:style>
  <w:style w:type="paragraph" w:customStyle="1" w:styleId="ZU">
    <w:name w:val="ZU"/>
    <w:rsid w:val="00B65A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5A1D"/>
    <w:pPr>
      <w:framePr w:wrap="notBeside" w:y="16161"/>
    </w:pPr>
  </w:style>
  <w:style w:type="paragraph" w:customStyle="1" w:styleId="FP">
    <w:name w:val="FP"/>
    <w:basedOn w:val="Normal"/>
    <w:rsid w:val="00B65A1D"/>
    <w:pPr>
      <w:spacing w:after="0"/>
      <w:jc w:val="left"/>
    </w:pPr>
    <w:rPr>
      <w:lang w:eastAsia="en-US"/>
    </w:rPr>
  </w:style>
  <w:style w:type="paragraph" w:customStyle="1" w:styleId="Observation">
    <w:name w:val="Observation"/>
    <w:basedOn w:val="Proposal"/>
    <w:qFormat/>
    <w:rsid w:val="00B65A1D"/>
    <w:pPr>
      <w:numPr>
        <w:numId w:val="13"/>
      </w:numPr>
      <w:ind w:left="1701" w:hanging="1701"/>
    </w:pPr>
  </w:style>
  <w:style w:type="paragraph" w:styleId="TableofFigures">
    <w:name w:val="table of figures"/>
    <w:basedOn w:val="Normal"/>
    <w:next w:val="Normal"/>
    <w:uiPriority w:val="99"/>
    <w:rsid w:val="00B65A1D"/>
    <w:pPr>
      <w:ind w:left="1418" w:hanging="1418"/>
      <w:jc w:val="left"/>
    </w:pPr>
    <w:rPr>
      <w:b/>
    </w:rPr>
  </w:style>
  <w:style w:type="paragraph" w:customStyle="1" w:styleId="Doc-text2">
    <w:name w:val="Doc-text2"/>
    <w:basedOn w:val="Normal"/>
    <w:link w:val="Doc-text2Char"/>
    <w:qFormat/>
    <w:rsid w:val="00B65A1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65A1D"/>
    <w:rPr>
      <w:rFonts w:ascii="Arial" w:eastAsia="MS Mincho" w:hAnsi="Arial"/>
      <w:szCs w:val="24"/>
      <w:lang w:val="en-GB" w:eastAsia="en-GB"/>
    </w:rPr>
  </w:style>
  <w:style w:type="paragraph" w:styleId="ListParagraph">
    <w:name w:val="List Paragraph"/>
    <w:basedOn w:val="Normal"/>
    <w:uiPriority w:val="34"/>
    <w:qFormat/>
    <w:rsid w:val="005C7946"/>
    <w:pPr>
      <w:ind w:left="720"/>
      <w:contextualSpacing/>
    </w:pPr>
  </w:style>
  <w:style w:type="paragraph" w:styleId="NormalWeb">
    <w:name w:val="Normal (Web)"/>
    <w:basedOn w:val="Normal"/>
    <w:uiPriority w:val="99"/>
    <w:unhideWhenUsed/>
    <w:rsid w:val="0019043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B-Body">
    <w:name w:val="B-Body"/>
    <w:link w:val="B-BodyChar"/>
    <w:uiPriority w:val="30"/>
    <w:qFormat/>
    <w:rsid w:val="00A55BC8"/>
    <w:pPr>
      <w:tabs>
        <w:tab w:val="left" w:pos="2160"/>
      </w:tabs>
      <w:spacing w:before="120" w:after="40"/>
      <w:ind w:left="720"/>
    </w:pPr>
    <w:rPr>
      <w:rFonts w:ascii="Times New Roman" w:eastAsia="SimSun" w:hAnsi="Times New Roman"/>
      <w:sz w:val="22"/>
    </w:rPr>
  </w:style>
  <w:style w:type="character" w:customStyle="1" w:styleId="B-BodyChar">
    <w:name w:val="B-Body Char"/>
    <w:basedOn w:val="DefaultParagraphFont"/>
    <w:link w:val="B-Body"/>
    <w:uiPriority w:val="30"/>
    <w:rsid w:val="00A55BC8"/>
    <w:rPr>
      <w:rFonts w:ascii="Times New Roman" w:eastAsia="SimSun" w:hAnsi="Times New Roman"/>
      <w:sz w:val="22"/>
    </w:rPr>
  </w:style>
  <w:style w:type="paragraph" w:customStyle="1" w:styleId="PL">
    <w:name w:val="PL"/>
    <w:link w:val="PLChar"/>
    <w:rsid w:val="00FF3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FF313C"/>
    <w:rPr>
      <w:rFonts w:ascii="Arial" w:hAnsi="Arial"/>
      <w:b/>
      <w:lang w:val="en-GB"/>
    </w:rPr>
  </w:style>
  <w:style w:type="character" w:customStyle="1" w:styleId="PLChar">
    <w:name w:val="PL Char"/>
    <w:link w:val="PL"/>
    <w:rsid w:val="00FF313C"/>
    <w:rPr>
      <w:rFonts w:ascii="Courier New" w:hAnsi="Courier New"/>
      <w:noProof/>
      <w:sz w:val="16"/>
    </w:rPr>
  </w:style>
  <w:style w:type="paragraph" w:styleId="Revision">
    <w:name w:val="Revision"/>
    <w:hidden/>
    <w:uiPriority w:val="99"/>
    <w:semiHidden/>
    <w:rsid w:val="00FD562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8229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C7BAA03-E226-4DE4-88E1-8AD0A974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1879</Words>
  <Characters>10714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2017-09-29T01:05:00Z</dcterms:created>
  <dcterms:modified xsi:type="dcterms:W3CDTF">2017-09-29T01:05:00Z</dcterms:modified>
</cp:coreProperties>
</file>